
<file path=[Content_Types].xml><?xml version="1.0" encoding="utf-8"?>
<Types xmlns="http://schemas.openxmlformats.org/package/2006/content-types">
  <Override PartName="/word/numbering.xml" ContentType="application/vnd.openxmlformats-officedocument.wordprocessingml.numbering+xml"/>
  <Override PartName="/word/header3.xml" ContentType="application/vnd.openxmlformats-officedocument.wordprocessingml.header+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header2.xml" ContentType="application/vnd.openxmlformats-officedocument.wordprocessingml.header+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7F6" w:rsidRPr="003147F6" w:rsidRDefault="003147F6" w:rsidP="003147F6">
      <w:pPr>
        <w:spacing w:line="480" w:lineRule="auto"/>
        <w:rPr>
          <w:rFonts w:ascii="Times New Roman" w:hAnsi="Times New Roman"/>
        </w:rPr>
      </w:pPr>
    </w:p>
    <w:p w:rsidR="003147F6" w:rsidRPr="003147F6" w:rsidRDefault="003147F6" w:rsidP="003147F6">
      <w:pPr>
        <w:spacing w:line="480" w:lineRule="auto"/>
        <w:rPr>
          <w:rFonts w:ascii="Times New Roman" w:hAnsi="Times New Roman"/>
        </w:rPr>
      </w:pPr>
    </w:p>
    <w:p w:rsidR="003147F6" w:rsidRPr="003147F6" w:rsidRDefault="003147F6" w:rsidP="003147F6">
      <w:pPr>
        <w:spacing w:line="480" w:lineRule="auto"/>
        <w:rPr>
          <w:rFonts w:ascii="Times New Roman" w:hAnsi="Times New Roman"/>
        </w:rPr>
      </w:pPr>
    </w:p>
    <w:p w:rsidR="003147F6" w:rsidRPr="003147F6" w:rsidRDefault="003147F6" w:rsidP="003147F6">
      <w:pPr>
        <w:spacing w:line="480" w:lineRule="auto"/>
        <w:rPr>
          <w:rFonts w:ascii="Times New Roman" w:hAnsi="Times New Roman"/>
        </w:rPr>
      </w:pPr>
    </w:p>
    <w:p w:rsidR="003147F6" w:rsidRDefault="003147F6" w:rsidP="003147F6">
      <w:pPr>
        <w:spacing w:line="480" w:lineRule="auto"/>
        <w:rPr>
          <w:rFonts w:ascii="Times New Roman" w:hAnsi="Times New Roman"/>
        </w:rPr>
      </w:pPr>
    </w:p>
    <w:p w:rsidR="003147F6" w:rsidRDefault="003147F6" w:rsidP="003147F6">
      <w:pPr>
        <w:spacing w:line="480" w:lineRule="auto"/>
        <w:rPr>
          <w:rFonts w:ascii="Times New Roman" w:hAnsi="Times New Roman"/>
        </w:rPr>
      </w:pPr>
    </w:p>
    <w:p w:rsidR="003147F6" w:rsidRDefault="003147F6" w:rsidP="003147F6">
      <w:pPr>
        <w:spacing w:line="480" w:lineRule="auto"/>
        <w:rPr>
          <w:rFonts w:ascii="Times New Roman" w:hAnsi="Times New Roman"/>
        </w:rPr>
      </w:pPr>
    </w:p>
    <w:p w:rsidR="003147F6" w:rsidRDefault="003147F6" w:rsidP="003147F6">
      <w:pPr>
        <w:spacing w:line="480" w:lineRule="auto"/>
        <w:jc w:val="center"/>
        <w:rPr>
          <w:rFonts w:ascii="Times New Roman" w:hAnsi="Times New Roman"/>
        </w:rPr>
      </w:pPr>
      <w:r>
        <w:rPr>
          <w:rFonts w:ascii="Times New Roman" w:hAnsi="Times New Roman"/>
        </w:rPr>
        <w:t xml:space="preserve">Traditionally and </w:t>
      </w:r>
      <w:r w:rsidR="0062625B">
        <w:rPr>
          <w:rFonts w:ascii="Times New Roman" w:hAnsi="Times New Roman"/>
        </w:rPr>
        <w:t>Alternatively Certified</w:t>
      </w:r>
      <w:r>
        <w:rPr>
          <w:rFonts w:ascii="Times New Roman" w:hAnsi="Times New Roman"/>
        </w:rPr>
        <w:t xml:space="preserve"> Special Education Teachers’ Preparation for </w:t>
      </w:r>
    </w:p>
    <w:p w:rsidR="003147F6" w:rsidRDefault="003147F6" w:rsidP="003147F6">
      <w:pPr>
        <w:spacing w:line="480" w:lineRule="auto"/>
        <w:jc w:val="center"/>
        <w:rPr>
          <w:rFonts w:ascii="Times New Roman" w:hAnsi="Times New Roman"/>
        </w:rPr>
      </w:pPr>
      <w:r>
        <w:rPr>
          <w:rFonts w:ascii="Times New Roman" w:hAnsi="Times New Roman"/>
        </w:rPr>
        <w:t>the First Year of Teaching</w:t>
      </w:r>
    </w:p>
    <w:p w:rsidR="003147F6" w:rsidRDefault="003147F6" w:rsidP="003147F6">
      <w:pPr>
        <w:spacing w:line="480" w:lineRule="auto"/>
        <w:jc w:val="center"/>
        <w:rPr>
          <w:rFonts w:ascii="Times New Roman" w:hAnsi="Times New Roman"/>
        </w:rPr>
      </w:pPr>
      <w:r>
        <w:rPr>
          <w:rFonts w:ascii="Times New Roman" w:hAnsi="Times New Roman"/>
        </w:rPr>
        <w:t>Sara Mills</w:t>
      </w:r>
    </w:p>
    <w:p w:rsidR="003147F6" w:rsidRDefault="003147F6" w:rsidP="003147F6">
      <w:pPr>
        <w:spacing w:line="480" w:lineRule="auto"/>
        <w:jc w:val="center"/>
        <w:rPr>
          <w:rFonts w:ascii="Times New Roman" w:hAnsi="Times New Roman"/>
        </w:rPr>
      </w:pPr>
      <w:r>
        <w:rPr>
          <w:rFonts w:ascii="Times New Roman" w:hAnsi="Times New Roman"/>
        </w:rPr>
        <w:t>George Mason University</w:t>
      </w:r>
    </w:p>
    <w:p w:rsidR="003147F6" w:rsidRDefault="003147F6" w:rsidP="003147F6">
      <w:pPr>
        <w:spacing w:line="480" w:lineRule="auto"/>
        <w:jc w:val="center"/>
        <w:rPr>
          <w:rFonts w:ascii="Times New Roman" w:hAnsi="Times New Roman"/>
        </w:rPr>
      </w:pPr>
      <w:r>
        <w:rPr>
          <w:rFonts w:ascii="Times New Roman" w:hAnsi="Times New Roman"/>
        </w:rPr>
        <w:t>EDRS 811</w:t>
      </w:r>
    </w:p>
    <w:p w:rsidR="003147F6" w:rsidRDefault="003147F6" w:rsidP="003147F6">
      <w:pPr>
        <w:spacing w:line="480" w:lineRule="auto"/>
        <w:jc w:val="center"/>
        <w:rPr>
          <w:rFonts w:ascii="Times New Roman" w:hAnsi="Times New Roman"/>
        </w:rPr>
      </w:pPr>
      <w:r>
        <w:rPr>
          <w:rFonts w:ascii="Times New Roman" w:hAnsi="Times New Roman"/>
        </w:rPr>
        <w:t>December 11, 2009</w:t>
      </w:r>
    </w:p>
    <w:p w:rsidR="003147F6" w:rsidRDefault="003147F6" w:rsidP="003147F6">
      <w:pPr>
        <w:spacing w:line="480" w:lineRule="auto"/>
        <w:rPr>
          <w:rFonts w:ascii="Times New Roman" w:hAnsi="Times New Roman"/>
        </w:rPr>
      </w:pPr>
    </w:p>
    <w:p w:rsidR="003147F6" w:rsidRDefault="003147F6" w:rsidP="003147F6">
      <w:pPr>
        <w:spacing w:line="480" w:lineRule="auto"/>
        <w:rPr>
          <w:rFonts w:ascii="Times New Roman" w:hAnsi="Times New Roman"/>
        </w:rPr>
      </w:pPr>
    </w:p>
    <w:p w:rsidR="003147F6" w:rsidRDefault="003147F6" w:rsidP="003147F6">
      <w:pPr>
        <w:spacing w:line="480" w:lineRule="auto"/>
        <w:rPr>
          <w:rFonts w:ascii="Times New Roman" w:hAnsi="Times New Roman"/>
        </w:rPr>
      </w:pPr>
    </w:p>
    <w:p w:rsidR="003147F6" w:rsidRDefault="003147F6" w:rsidP="003147F6">
      <w:pPr>
        <w:spacing w:line="480" w:lineRule="auto"/>
        <w:rPr>
          <w:rFonts w:ascii="Times New Roman" w:hAnsi="Times New Roman"/>
        </w:rPr>
      </w:pPr>
    </w:p>
    <w:p w:rsidR="00CB6F51" w:rsidRDefault="003147F6" w:rsidP="00CB6F51">
      <w:pPr>
        <w:spacing w:line="480" w:lineRule="auto"/>
        <w:jc w:val="center"/>
        <w:rPr>
          <w:rFonts w:ascii="Times New Roman" w:hAnsi="Times New Roman"/>
          <w:b/>
        </w:rPr>
      </w:pPr>
      <w:r>
        <w:rPr>
          <w:rFonts w:ascii="Times New Roman" w:hAnsi="Times New Roman"/>
        </w:rPr>
        <w:br w:type="page"/>
      </w:r>
      <w:r w:rsidRPr="003147F6">
        <w:rPr>
          <w:rFonts w:ascii="Times New Roman" w:hAnsi="Times New Roman"/>
          <w:b/>
        </w:rPr>
        <w:t>Abstract</w:t>
      </w:r>
    </w:p>
    <w:p w:rsidR="003147F6" w:rsidRPr="00CB6F51" w:rsidRDefault="00CB6F51" w:rsidP="00CB6F51">
      <w:pPr>
        <w:spacing w:line="480" w:lineRule="auto"/>
        <w:rPr>
          <w:rFonts w:ascii="Times New Roman" w:hAnsi="Times New Roman"/>
        </w:rPr>
      </w:pPr>
      <w:r>
        <w:rPr>
          <w:rFonts w:ascii="Times New Roman" w:hAnsi="Times New Roman"/>
        </w:rPr>
        <w:t xml:space="preserve">The critical need for well-qualified special education teachers and the proliferation of alternatives to traditional teacher certification require identification of the most effective means for developing new teachers who are equipped to meet the demands of the classroom.  This study analyzes </w:t>
      </w:r>
      <w:r w:rsidR="006B2411">
        <w:rPr>
          <w:rFonts w:ascii="Times New Roman" w:hAnsi="Times New Roman"/>
        </w:rPr>
        <w:t xml:space="preserve">data from a nationally representative sample of 601 novice special education teachers to identify the teacher preparation and professional development activities that are </w:t>
      </w:r>
      <w:r w:rsidR="00385192">
        <w:rPr>
          <w:rFonts w:ascii="Times New Roman" w:hAnsi="Times New Roman"/>
        </w:rPr>
        <w:t>most closely correlated</w:t>
      </w:r>
      <w:r w:rsidR="006B2411">
        <w:rPr>
          <w:rFonts w:ascii="Times New Roman" w:hAnsi="Times New Roman"/>
        </w:rPr>
        <w:t xml:space="preserve"> with classroom readiness.  Results show that participation in first-year induction programs is negatively correlated with classroom readiness, while the traditional certification path is positively correlated with classroom readiness.  Analysis of differences in readiness between teachers with different types of certification revealed statistically significant, though small, differences between teachers with traditional certification and those with provisional certification. </w:t>
      </w:r>
      <w:r w:rsidR="00385192">
        <w:rPr>
          <w:rFonts w:ascii="Times New Roman" w:hAnsi="Times New Roman"/>
        </w:rPr>
        <w:t xml:space="preserve"> </w:t>
      </w:r>
    </w:p>
    <w:p w:rsidR="003147F6" w:rsidRDefault="003147F6" w:rsidP="003147F6">
      <w:pPr>
        <w:spacing w:line="480" w:lineRule="auto"/>
        <w:rPr>
          <w:rFonts w:ascii="Times New Roman" w:hAnsi="Times New Roman"/>
        </w:rPr>
      </w:pPr>
    </w:p>
    <w:p w:rsidR="003147F6" w:rsidRDefault="003147F6" w:rsidP="003147F6">
      <w:pPr>
        <w:spacing w:line="480" w:lineRule="auto"/>
        <w:rPr>
          <w:rFonts w:ascii="Times New Roman" w:hAnsi="Times New Roman"/>
        </w:rPr>
      </w:pPr>
    </w:p>
    <w:p w:rsidR="003147F6" w:rsidRDefault="003147F6" w:rsidP="003147F6">
      <w:pPr>
        <w:spacing w:line="480" w:lineRule="auto"/>
        <w:rPr>
          <w:rFonts w:ascii="Times New Roman" w:hAnsi="Times New Roman"/>
        </w:rPr>
      </w:pPr>
    </w:p>
    <w:p w:rsidR="003147F6" w:rsidRDefault="003147F6" w:rsidP="003147F6">
      <w:pPr>
        <w:spacing w:line="480" w:lineRule="auto"/>
        <w:rPr>
          <w:rFonts w:ascii="Times New Roman" w:hAnsi="Times New Roman"/>
        </w:rPr>
      </w:pPr>
    </w:p>
    <w:p w:rsidR="003147F6" w:rsidRDefault="003147F6" w:rsidP="003147F6">
      <w:pPr>
        <w:spacing w:line="480" w:lineRule="auto"/>
        <w:jc w:val="center"/>
        <w:rPr>
          <w:rFonts w:ascii="Times New Roman" w:hAnsi="Times New Roman"/>
        </w:rPr>
      </w:pPr>
      <w:r>
        <w:rPr>
          <w:rFonts w:ascii="Times New Roman" w:hAnsi="Times New Roman"/>
        </w:rPr>
        <w:br w:type="page"/>
        <w:t xml:space="preserve">Traditionally and </w:t>
      </w:r>
      <w:r w:rsidR="0062625B">
        <w:rPr>
          <w:rFonts w:ascii="Times New Roman" w:hAnsi="Times New Roman"/>
        </w:rPr>
        <w:t>Alternatively</w:t>
      </w:r>
      <w:r>
        <w:rPr>
          <w:rFonts w:ascii="Times New Roman" w:hAnsi="Times New Roman"/>
        </w:rPr>
        <w:t xml:space="preserve"> Licensed Special Education Teachers’ Preparation for </w:t>
      </w:r>
    </w:p>
    <w:p w:rsidR="003147F6" w:rsidRDefault="003147F6" w:rsidP="003147F6">
      <w:pPr>
        <w:spacing w:line="480" w:lineRule="auto"/>
        <w:jc w:val="center"/>
        <w:rPr>
          <w:rFonts w:ascii="Times New Roman" w:hAnsi="Times New Roman"/>
        </w:rPr>
      </w:pPr>
      <w:r>
        <w:rPr>
          <w:rFonts w:ascii="Times New Roman" w:hAnsi="Times New Roman"/>
        </w:rPr>
        <w:t>the First Year of Teaching</w:t>
      </w:r>
    </w:p>
    <w:p w:rsidR="00543936" w:rsidRDefault="0057053F" w:rsidP="003147F6">
      <w:pPr>
        <w:spacing w:line="480" w:lineRule="auto"/>
        <w:rPr>
          <w:rFonts w:ascii="Times New Roman" w:hAnsi="Times New Roman"/>
        </w:rPr>
      </w:pPr>
      <w:r>
        <w:rPr>
          <w:rFonts w:ascii="Times New Roman" w:hAnsi="Times New Roman"/>
        </w:rPr>
        <w:tab/>
      </w:r>
      <w:r w:rsidR="0062625B">
        <w:rPr>
          <w:rFonts w:ascii="Times New Roman" w:hAnsi="Times New Roman"/>
        </w:rPr>
        <w:t xml:space="preserve">The No Child Left Behind Act of 2001 (NCLB) </w:t>
      </w:r>
      <w:r w:rsidR="002F707F">
        <w:rPr>
          <w:rFonts w:ascii="Times New Roman" w:hAnsi="Times New Roman"/>
        </w:rPr>
        <w:t xml:space="preserve">requires that all special education teachers be “highly qualified” (NCLB, 2002).  According to NCLB, highly qualified is defined in terms of subject matter knowledge, rather than knowledge of pedagogy or learners.  </w:t>
      </w:r>
      <w:r w:rsidR="00543936">
        <w:rPr>
          <w:rFonts w:ascii="Times New Roman" w:hAnsi="Times New Roman"/>
        </w:rPr>
        <w:t>From the perspective of the US Department of Education, it seems that teacher preparation program</w:t>
      </w:r>
      <w:r w:rsidR="0062625B">
        <w:rPr>
          <w:rFonts w:ascii="Times New Roman" w:hAnsi="Times New Roman"/>
        </w:rPr>
        <w:t>s</w:t>
      </w:r>
      <w:r w:rsidR="00543936">
        <w:rPr>
          <w:rFonts w:ascii="Times New Roman" w:hAnsi="Times New Roman"/>
        </w:rPr>
        <w:t xml:space="preserve"> have little or no impact on student achievement (Brownell et al., 2005).</w:t>
      </w:r>
    </w:p>
    <w:p w:rsidR="00036EBA" w:rsidRDefault="00543936" w:rsidP="00543936">
      <w:pPr>
        <w:spacing w:line="480" w:lineRule="auto"/>
        <w:ind w:firstLine="720"/>
        <w:rPr>
          <w:rFonts w:ascii="Times New Roman" w:hAnsi="Times New Roman"/>
        </w:rPr>
      </w:pPr>
      <w:r>
        <w:rPr>
          <w:rFonts w:ascii="Times New Roman" w:hAnsi="Times New Roman"/>
        </w:rPr>
        <w:t xml:space="preserve">Research in the field of teacher education shows otherwise.  In a recent study by Brownell and her colleagues (Brownell et al., 2009), for example, the general pedagogical knowledge of first year special education teachers </w:t>
      </w:r>
      <w:r w:rsidR="0062625B">
        <w:rPr>
          <w:rFonts w:ascii="Times New Roman" w:hAnsi="Times New Roman"/>
        </w:rPr>
        <w:t>was a better predictor of</w:t>
      </w:r>
      <w:r>
        <w:rPr>
          <w:rFonts w:ascii="Times New Roman" w:hAnsi="Times New Roman"/>
        </w:rPr>
        <w:t xml:space="preserve"> student achievement than subject matter knowledge.  In another example, Seo et al. (200</w:t>
      </w:r>
      <w:r w:rsidR="009B229C">
        <w:rPr>
          <w:rFonts w:ascii="Times New Roman" w:hAnsi="Times New Roman"/>
        </w:rPr>
        <w:t>8</w:t>
      </w:r>
      <w:r>
        <w:rPr>
          <w:rFonts w:ascii="Times New Roman" w:hAnsi="Times New Roman"/>
        </w:rPr>
        <w:t>) fo</w:t>
      </w:r>
      <w:r w:rsidR="009B229C">
        <w:rPr>
          <w:rFonts w:ascii="Times New Roman" w:hAnsi="Times New Roman"/>
        </w:rPr>
        <w:t xml:space="preserve">und that more engaging and, therefore, more effective first year special education teachers </w:t>
      </w:r>
      <w:r w:rsidR="00036EBA">
        <w:rPr>
          <w:rFonts w:ascii="Times New Roman" w:hAnsi="Times New Roman"/>
        </w:rPr>
        <w:t xml:space="preserve">had higher instructional quality, </w:t>
      </w:r>
      <w:r w:rsidR="009B229C">
        <w:rPr>
          <w:rFonts w:ascii="Times New Roman" w:hAnsi="Times New Roman"/>
        </w:rPr>
        <w:t xml:space="preserve">were more responsive to student needs, set a </w:t>
      </w:r>
      <w:r w:rsidR="00036EBA">
        <w:rPr>
          <w:rFonts w:ascii="Times New Roman" w:hAnsi="Times New Roman"/>
        </w:rPr>
        <w:t>supportive</w:t>
      </w:r>
      <w:r w:rsidR="009B229C">
        <w:rPr>
          <w:rFonts w:ascii="Times New Roman" w:hAnsi="Times New Roman"/>
        </w:rPr>
        <w:t xml:space="preserve"> socioemotional climate in the classroom, </w:t>
      </w:r>
      <w:r w:rsidR="00036EBA">
        <w:rPr>
          <w:rFonts w:ascii="Times New Roman" w:hAnsi="Times New Roman"/>
        </w:rPr>
        <w:t xml:space="preserve">and valued student autonomy and self-regulated thinking.  Of these four distinguishing characteristics, only one relates to subject matter knowledge.  Three characteristics related to </w:t>
      </w:r>
      <w:r w:rsidR="009B229C">
        <w:rPr>
          <w:rFonts w:ascii="Times New Roman" w:hAnsi="Times New Roman"/>
        </w:rPr>
        <w:t>general pedagogical skill</w:t>
      </w:r>
      <w:r w:rsidR="00036EBA">
        <w:rPr>
          <w:rFonts w:ascii="Times New Roman" w:hAnsi="Times New Roman"/>
        </w:rPr>
        <w:t>s</w:t>
      </w:r>
      <w:r w:rsidR="009B229C">
        <w:rPr>
          <w:rFonts w:ascii="Times New Roman" w:hAnsi="Times New Roman"/>
        </w:rPr>
        <w:t xml:space="preserve">. </w:t>
      </w:r>
      <w:r>
        <w:rPr>
          <w:rFonts w:ascii="Times New Roman" w:hAnsi="Times New Roman"/>
        </w:rPr>
        <w:t xml:space="preserve">  </w:t>
      </w:r>
    </w:p>
    <w:p w:rsidR="00A92ED8" w:rsidRDefault="00036EBA" w:rsidP="00543936">
      <w:pPr>
        <w:spacing w:line="480" w:lineRule="auto"/>
        <w:ind w:firstLine="720"/>
        <w:rPr>
          <w:rFonts w:ascii="Times New Roman" w:hAnsi="Times New Roman"/>
        </w:rPr>
      </w:pPr>
      <w:r>
        <w:rPr>
          <w:rFonts w:ascii="Times New Roman" w:hAnsi="Times New Roman"/>
        </w:rPr>
        <w:t>In spite of the growing research on characteristics of effective novice teachers, l</w:t>
      </w:r>
      <w:r w:rsidR="002F707F">
        <w:rPr>
          <w:rFonts w:ascii="Times New Roman" w:hAnsi="Times New Roman"/>
        </w:rPr>
        <w:t xml:space="preserve">ittle </w:t>
      </w:r>
      <w:r>
        <w:rPr>
          <w:rFonts w:ascii="Times New Roman" w:hAnsi="Times New Roman"/>
        </w:rPr>
        <w:t>is known</w:t>
      </w:r>
      <w:r w:rsidR="002F707F">
        <w:rPr>
          <w:rFonts w:ascii="Times New Roman" w:hAnsi="Times New Roman"/>
        </w:rPr>
        <w:t xml:space="preserve"> about </w:t>
      </w:r>
      <w:r>
        <w:rPr>
          <w:rFonts w:ascii="Times New Roman" w:hAnsi="Times New Roman"/>
        </w:rPr>
        <w:t xml:space="preserve">effective </w:t>
      </w:r>
      <w:r w:rsidR="002F707F">
        <w:rPr>
          <w:rFonts w:ascii="Times New Roman" w:hAnsi="Times New Roman"/>
        </w:rPr>
        <w:t>special education teacher preparation programs (Brownell et al., 2005).</w:t>
      </w:r>
      <w:r>
        <w:rPr>
          <w:rFonts w:ascii="Times New Roman" w:hAnsi="Times New Roman"/>
        </w:rPr>
        <w:t xml:space="preserve">  Given the current, and growing, shortage of special education teachers, a variety of teacher preparation program options </w:t>
      </w:r>
      <w:r w:rsidR="002B53F4">
        <w:rPr>
          <w:rFonts w:ascii="Times New Roman" w:hAnsi="Times New Roman"/>
        </w:rPr>
        <w:t xml:space="preserve">are available and </w:t>
      </w:r>
      <w:r w:rsidR="0062625B">
        <w:rPr>
          <w:rFonts w:ascii="Times New Roman" w:hAnsi="Times New Roman"/>
        </w:rPr>
        <w:t>are increasing</w:t>
      </w:r>
      <w:r w:rsidR="002B53F4">
        <w:rPr>
          <w:rFonts w:ascii="Times New Roman" w:hAnsi="Times New Roman"/>
        </w:rPr>
        <w:t xml:space="preserve"> in popularity.  Traditional teacher preparation programs require coursework and student teaching </w:t>
      </w:r>
      <w:r w:rsidR="0062625B">
        <w:rPr>
          <w:rFonts w:ascii="Times New Roman" w:hAnsi="Times New Roman"/>
        </w:rPr>
        <w:t xml:space="preserve">experience </w:t>
      </w:r>
      <w:r w:rsidR="002B53F4">
        <w:rPr>
          <w:rFonts w:ascii="Times New Roman" w:hAnsi="Times New Roman"/>
        </w:rPr>
        <w:t>before certification.  Provisional teaching cert</w:t>
      </w:r>
      <w:r w:rsidR="0062625B">
        <w:rPr>
          <w:rFonts w:ascii="Times New Roman" w:hAnsi="Times New Roman"/>
        </w:rPr>
        <w:t xml:space="preserve">ification usually requires some, but not all, certification coursework be completed </w:t>
      </w:r>
      <w:r w:rsidR="002B53F4">
        <w:rPr>
          <w:rFonts w:ascii="Times New Roman" w:hAnsi="Times New Roman"/>
        </w:rPr>
        <w:t>before teachers</w:t>
      </w:r>
      <w:r w:rsidR="0062625B">
        <w:rPr>
          <w:rFonts w:ascii="Times New Roman" w:hAnsi="Times New Roman"/>
        </w:rPr>
        <w:t xml:space="preserve"> are placed in the classroom.  Provisionally certified t</w:t>
      </w:r>
      <w:r w:rsidR="002B53F4">
        <w:rPr>
          <w:rFonts w:ascii="Times New Roman" w:hAnsi="Times New Roman"/>
        </w:rPr>
        <w:t xml:space="preserve">eachers continue to complete the </w:t>
      </w:r>
      <w:r w:rsidR="0062625B">
        <w:rPr>
          <w:rFonts w:ascii="Times New Roman" w:hAnsi="Times New Roman"/>
        </w:rPr>
        <w:t xml:space="preserve">remaining required </w:t>
      </w:r>
      <w:r w:rsidR="002B53F4">
        <w:rPr>
          <w:rFonts w:ascii="Times New Roman" w:hAnsi="Times New Roman"/>
        </w:rPr>
        <w:t xml:space="preserve">coursework </w:t>
      </w:r>
      <w:r w:rsidR="0062625B">
        <w:rPr>
          <w:rFonts w:ascii="Times New Roman" w:hAnsi="Times New Roman"/>
        </w:rPr>
        <w:t>while</w:t>
      </w:r>
      <w:r w:rsidR="002B53F4">
        <w:rPr>
          <w:rFonts w:ascii="Times New Roman" w:hAnsi="Times New Roman"/>
        </w:rPr>
        <w:t xml:space="preserve"> they teach.  Emergency certification can </w:t>
      </w:r>
      <w:r w:rsidR="0062625B">
        <w:rPr>
          <w:rFonts w:ascii="Times New Roman" w:hAnsi="Times New Roman"/>
        </w:rPr>
        <w:t xml:space="preserve">also </w:t>
      </w:r>
      <w:r w:rsidR="002B53F4">
        <w:rPr>
          <w:rFonts w:ascii="Times New Roman" w:hAnsi="Times New Roman"/>
        </w:rPr>
        <w:t>be given to teachers so that they can begin teaching in the classroom without completing any teacher preparation requirements.</w:t>
      </w:r>
    </w:p>
    <w:p w:rsidR="00C932A7" w:rsidRDefault="00A92ED8" w:rsidP="00543936">
      <w:pPr>
        <w:spacing w:line="480" w:lineRule="auto"/>
        <w:ind w:firstLine="720"/>
        <w:rPr>
          <w:rFonts w:ascii="Times New Roman" w:hAnsi="Times New Roman"/>
        </w:rPr>
      </w:pPr>
      <w:r>
        <w:rPr>
          <w:rFonts w:ascii="Times New Roman" w:hAnsi="Times New Roman"/>
        </w:rPr>
        <w:t xml:space="preserve">With such urgency in the field for new special education teachers, </w:t>
      </w:r>
      <w:r w:rsidR="0062625B">
        <w:rPr>
          <w:rFonts w:ascii="Times New Roman" w:hAnsi="Times New Roman"/>
        </w:rPr>
        <w:t xml:space="preserve">and the federal requirements that they be “highly qualified,” </w:t>
      </w:r>
      <w:r>
        <w:rPr>
          <w:rFonts w:ascii="Times New Roman" w:hAnsi="Times New Roman"/>
        </w:rPr>
        <w:t>it becomes important to identify the most critical experiences necessary to prepare effective teachers.</w:t>
      </w:r>
      <w:r w:rsidR="00C932A7">
        <w:rPr>
          <w:rFonts w:ascii="Times New Roman" w:hAnsi="Times New Roman"/>
        </w:rPr>
        <w:t xml:space="preserve">  Does the type of certification a teacher has indicate how effective she will be in the classroom?  Are other types of professional development key to supporting new special education teachers so that they may effectively perform all of their responsibilities in the classroom? </w:t>
      </w:r>
    </w:p>
    <w:p w:rsidR="003147F6" w:rsidRDefault="008E5FE2" w:rsidP="008E5FE2">
      <w:pPr>
        <w:spacing w:line="480" w:lineRule="auto"/>
        <w:ind w:firstLine="720"/>
        <w:rPr>
          <w:rFonts w:ascii="Times New Roman" w:hAnsi="Times New Roman"/>
        </w:rPr>
      </w:pPr>
      <w:r>
        <w:rPr>
          <w:rFonts w:ascii="Times New Roman" w:hAnsi="Times New Roman"/>
        </w:rPr>
        <w:t xml:space="preserve">The purpose of this study is to </w:t>
      </w:r>
      <w:r w:rsidR="00B04FF1">
        <w:rPr>
          <w:rFonts w:ascii="Times New Roman" w:hAnsi="Times New Roman"/>
        </w:rPr>
        <w:t>i</w:t>
      </w:r>
      <w:r w:rsidR="000D5F78">
        <w:rPr>
          <w:rFonts w:ascii="Times New Roman" w:hAnsi="Times New Roman"/>
        </w:rPr>
        <w:t xml:space="preserve">dentify how different teacher preparation paths and professional development opportunities </w:t>
      </w:r>
      <w:r w:rsidR="00B04FF1">
        <w:rPr>
          <w:rFonts w:ascii="Times New Roman" w:hAnsi="Times New Roman"/>
        </w:rPr>
        <w:t xml:space="preserve">impact novice special education teachers’ </w:t>
      </w:r>
      <w:r w:rsidR="000D5F78">
        <w:rPr>
          <w:rFonts w:ascii="Times New Roman" w:hAnsi="Times New Roman"/>
        </w:rPr>
        <w:t>classroom</w:t>
      </w:r>
      <w:r w:rsidR="00B04FF1">
        <w:rPr>
          <w:rFonts w:ascii="Times New Roman" w:hAnsi="Times New Roman"/>
        </w:rPr>
        <w:t xml:space="preserve"> readiness for their first year of teaching.</w:t>
      </w:r>
      <w:r>
        <w:rPr>
          <w:rFonts w:ascii="Times New Roman" w:hAnsi="Times New Roman"/>
        </w:rPr>
        <w:t xml:space="preserve">  Identifying the components that are most closely related to higher levels of classroom readiness can help teacher educators and policy makers know what types of preparation and ongoing support novice teachers require.</w:t>
      </w:r>
      <w:r w:rsidR="00B04FF1">
        <w:rPr>
          <w:rFonts w:ascii="Times New Roman" w:hAnsi="Times New Roman"/>
        </w:rPr>
        <w:t xml:space="preserve">  </w:t>
      </w:r>
    </w:p>
    <w:p w:rsidR="00B04FF1" w:rsidRPr="00C21B93" w:rsidRDefault="003147F6" w:rsidP="00B04FF1">
      <w:pPr>
        <w:spacing w:line="480" w:lineRule="auto"/>
        <w:rPr>
          <w:rFonts w:ascii="Times New Roman" w:hAnsi="Times New Roman"/>
          <w:b/>
        </w:rPr>
      </w:pPr>
      <w:r w:rsidRPr="00C21B93">
        <w:rPr>
          <w:rFonts w:ascii="Times New Roman" w:hAnsi="Times New Roman"/>
          <w:b/>
        </w:rPr>
        <w:t xml:space="preserve">Research </w:t>
      </w:r>
      <w:r w:rsidR="00B04FF1" w:rsidRPr="00C21B93">
        <w:rPr>
          <w:rFonts w:ascii="Times New Roman" w:hAnsi="Times New Roman"/>
          <w:b/>
        </w:rPr>
        <w:t>Q</w:t>
      </w:r>
      <w:r w:rsidRPr="00C21B93">
        <w:rPr>
          <w:rFonts w:ascii="Times New Roman" w:hAnsi="Times New Roman"/>
          <w:b/>
        </w:rPr>
        <w:t>uestions</w:t>
      </w:r>
    </w:p>
    <w:p w:rsidR="008E5FE2" w:rsidRDefault="008E5FE2" w:rsidP="008E5FE2">
      <w:pPr>
        <w:spacing w:line="480" w:lineRule="auto"/>
        <w:ind w:firstLine="720"/>
        <w:rPr>
          <w:rFonts w:ascii="Times New Roman" w:hAnsi="Times New Roman"/>
        </w:rPr>
      </w:pPr>
      <w:r w:rsidRPr="008E5FE2">
        <w:rPr>
          <w:rFonts w:ascii="Times New Roman" w:hAnsi="Times New Roman"/>
        </w:rPr>
        <w:t>One way to assess the effectiveness of different types of teacher preparation and professional development is to compare preparation levels of novice special education teachers.  The School and Staffing Survey</w:t>
      </w:r>
      <w:r>
        <w:rPr>
          <w:rFonts w:ascii="Times New Roman" w:hAnsi="Times New Roman"/>
        </w:rPr>
        <w:t xml:space="preserve"> (SASS</w:t>
      </w:r>
      <w:r w:rsidR="0062625B">
        <w:rPr>
          <w:rFonts w:ascii="Times New Roman" w:hAnsi="Times New Roman"/>
        </w:rPr>
        <w:t xml:space="preserve">; </w:t>
      </w:r>
      <w:r w:rsidR="002672CF" w:rsidRPr="003217CB">
        <w:rPr>
          <w:rFonts w:ascii="Times New Roman" w:hAnsi="Times New Roman" w:cs="Arial Unicode MS"/>
          <w:color w:val="000000"/>
        </w:rPr>
        <w:t>U.S. Dept. of Education, National C</w:t>
      </w:r>
      <w:r w:rsidR="002672CF">
        <w:rPr>
          <w:rFonts w:ascii="Times New Roman" w:hAnsi="Times New Roman" w:cs="Arial Unicode MS"/>
          <w:color w:val="000000"/>
        </w:rPr>
        <w:t>enter for Education Statistics (NCES), 2000</w:t>
      </w:r>
      <w:r>
        <w:rPr>
          <w:rFonts w:ascii="Times New Roman" w:hAnsi="Times New Roman"/>
        </w:rPr>
        <w:t>)</w:t>
      </w:r>
      <w:r w:rsidRPr="008E5FE2">
        <w:rPr>
          <w:rFonts w:ascii="Times New Roman" w:hAnsi="Times New Roman"/>
        </w:rPr>
        <w:t xml:space="preserve">, which </w:t>
      </w:r>
      <w:r w:rsidR="0062625B">
        <w:rPr>
          <w:rFonts w:ascii="Times New Roman" w:hAnsi="Times New Roman"/>
        </w:rPr>
        <w:t>was conducted four times between 1987 and 2000</w:t>
      </w:r>
      <w:r w:rsidRPr="008E5FE2">
        <w:rPr>
          <w:rFonts w:ascii="Times New Roman" w:hAnsi="Times New Roman"/>
        </w:rPr>
        <w:t xml:space="preserve">, asks extensive questions about teacher preparation programs and professional development activities.  </w:t>
      </w:r>
      <w:r>
        <w:rPr>
          <w:rFonts w:ascii="Times New Roman" w:hAnsi="Times New Roman"/>
        </w:rPr>
        <w:t xml:space="preserve"> SASS </w:t>
      </w:r>
      <w:r w:rsidR="0062625B">
        <w:rPr>
          <w:rFonts w:ascii="Times New Roman" w:hAnsi="Times New Roman"/>
        </w:rPr>
        <w:t>data from the 1999-2000 school year</w:t>
      </w:r>
      <w:r>
        <w:rPr>
          <w:rFonts w:ascii="Times New Roman" w:hAnsi="Times New Roman"/>
        </w:rPr>
        <w:t xml:space="preserve"> was analyzed to answer the following research questions:</w:t>
      </w:r>
    </w:p>
    <w:p w:rsidR="00C21B93" w:rsidRPr="008E5FE2" w:rsidRDefault="00C21B93" w:rsidP="008E5FE2">
      <w:pPr>
        <w:pStyle w:val="ListParagraph"/>
        <w:numPr>
          <w:ilvl w:val="0"/>
          <w:numId w:val="1"/>
        </w:numPr>
        <w:spacing w:line="480" w:lineRule="auto"/>
        <w:rPr>
          <w:rFonts w:ascii="Times New Roman" w:hAnsi="Times New Roman"/>
        </w:rPr>
      </w:pPr>
      <w:r w:rsidRPr="008E5FE2">
        <w:rPr>
          <w:rFonts w:ascii="Times New Roman" w:hAnsi="Times New Roman"/>
        </w:rPr>
        <w:t xml:space="preserve">Are there demographic differences between </w:t>
      </w:r>
      <w:r w:rsidR="00A60A46">
        <w:rPr>
          <w:rFonts w:ascii="Times New Roman" w:hAnsi="Times New Roman"/>
        </w:rPr>
        <w:t>certification</w:t>
      </w:r>
      <w:r w:rsidRPr="008E5FE2">
        <w:rPr>
          <w:rFonts w:ascii="Times New Roman" w:hAnsi="Times New Roman"/>
        </w:rPr>
        <w:t xml:space="preserve"> groups </w:t>
      </w:r>
      <w:r w:rsidR="00A60A46">
        <w:rPr>
          <w:rFonts w:ascii="Times New Roman" w:hAnsi="Times New Roman"/>
        </w:rPr>
        <w:t xml:space="preserve">(i.e., traditionally certified, provisionally certified, and emergency certified) </w:t>
      </w:r>
      <w:r w:rsidRPr="008E5FE2">
        <w:rPr>
          <w:rFonts w:ascii="Times New Roman" w:hAnsi="Times New Roman"/>
        </w:rPr>
        <w:t>in terms of age, gender, and race?</w:t>
      </w:r>
    </w:p>
    <w:p w:rsidR="00C21B93" w:rsidRDefault="00C21B93" w:rsidP="00C21B93">
      <w:pPr>
        <w:pStyle w:val="ListParagraph"/>
        <w:numPr>
          <w:ilvl w:val="0"/>
          <w:numId w:val="1"/>
        </w:numPr>
        <w:spacing w:line="480" w:lineRule="auto"/>
        <w:rPr>
          <w:rFonts w:ascii="Times New Roman" w:hAnsi="Times New Roman"/>
        </w:rPr>
      </w:pPr>
      <w:r>
        <w:rPr>
          <w:rFonts w:ascii="Times New Roman" w:hAnsi="Times New Roman"/>
        </w:rPr>
        <w:t xml:space="preserve">What </w:t>
      </w:r>
      <w:r w:rsidR="000D5F78">
        <w:rPr>
          <w:rFonts w:ascii="Times New Roman" w:hAnsi="Times New Roman"/>
        </w:rPr>
        <w:t>preparation and professional development components</w:t>
      </w:r>
      <w:r>
        <w:rPr>
          <w:rFonts w:ascii="Times New Roman" w:hAnsi="Times New Roman"/>
        </w:rPr>
        <w:t xml:space="preserve"> </w:t>
      </w:r>
      <w:r w:rsidR="00A60A46">
        <w:rPr>
          <w:rFonts w:ascii="Times New Roman" w:hAnsi="Times New Roman"/>
        </w:rPr>
        <w:t xml:space="preserve">are most highly correlated with increased levels of </w:t>
      </w:r>
      <w:r w:rsidR="000D5F78">
        <w:rPr>
          <w:rFonts w:ascii="Times New Roman" w:hAnsi="Times New Roman"/>
        </w:rPr>
        <w:t xml:space="preserve">classroom </w:t>
      </w:r>
      <w:r>
        <w:rPr>
          <w:rFonts w:ascii="Times New Roman" w:hAnsi="Times New Roman"/>
        </w:rPr>
        <w:t xml:space="preserve">readiness </w:t>
      </w:r>
      <w:r w:rsidR="00A60A46">
        <w:rPr>
          <w:rFonts w:ascii="Times New Roman" w:hAnsi="Times New Roman"/>
        </w:rPr>
        <w:t>for</w:t>
      </w:r>
      <w:r>
        <w:rPr>
          <w:rFonts w:ascii="Times New Roman" w:hAnsi="Times New Roman"/>
        </w:rPr>
        <w:t xml:space="preserve"> novice special education teachers?</w:t>
      </w:r>
    </w:p>
    <w:p w:rsidR="003147F6" w:rsidRPr="00C21B93" w:rsidRDefault="00C21B93" w:rsidP="003147F6">
      <w:pPr>
        <w:pStyle w:val="ListParagraph"/>
        <w:numPr>
          <w:ilvl w:val="0"/>
          <w:numId w:val="1"/>
        </w:numPr>
        <w:spacing w:line="480" w:lineRule="auto"/>
        <w:rPr>
          <w:rFonts w:ascii="Times New Roman" w:hAnsi="Times New Roman"/>
        </w:rPr>
      </w:pPr>
      <w:r>
        <w:rPr>
          <w:rFonts w:ascii="Times New Roman" w:hAnsi="Times New Roman"/>
        </w:rPr>
        <w:t xml:space="preserve">Do novice special education teachers with traditional </w:t>
      </w:r>
      <w:r w:rsidR="00A60A46">
        <w:rPr>
          <w:rFonts w:ascii="Times New Roman" w:hAnsi="Times New Roman"/>
        </w:rPr>
        <w:t xml:space="preserve">teaching </w:t>
      </w:r>
      <w:r>
        <w:rPr>
          <w:rFonts w:ascii="Times New Roman" w:hAnsi="Times New Roman"/>
        </w:rPr>
        <w:t>licenses, provisional license</w:t>
      </w:r>
      <w:r w:rsidR="00A60A46">
        <w:rPr>
          <w:rFonts w:ascii="Times New Roman" w:hAnsi="Times New Roman"/>
        </w:rPr>
        <w:t>s</w:t>
      </w:r>
      <w:r>
        <w:rPr>
          <w:rFonts w:ascii="Times New Roman" w:hAnsi="Times New Roman"/>
        </w:rPr>
        <w:t xml:space="preserve">, and emergency licenses have differing levels of </w:t>
      </w:r>
      <w:r w:rsidR="00A60A46">
        <w:rPr>
          <w:rFonts w:ascii="Times New Roman" w:hAnsi="Times New Roman"/>
        </w:rPr>
        <w:t xml:space="preserve">classroom </w:t>
      </w:r>
      <w:r>
        <w:rPr>
          <w:rFonts w:ascii="Times New Roman" w:hAnsi="Times New Roman"/>
        </w:rPr>
        <w:t>readiness?</w:t>
      </w:r>
    </w:p>
    <w:p w:rsidR="00C21B93" w:rsidRDefault="003147F6" w:rsidP="003147F6">
      <w:pPr>
        <w:spacing w:line="480" w:lineRule="auto"/>
        <w:jc w:val="center"/>
        <w:rPr>
          <w:rFonts w:ascii="Times New Roman" w:hAnsi="Times New Roman"/>
          <w:b/>
        </w:rPr>
      </w:pPr>
      <w:r w:rsidRPr="003147F6">
        <w:rPr>
          <w:rFonts w:ascii="Times New Roman" w:hAnsi="Times New Roman"/>
          <w:b/>
        </w:rPr>
        <w:t>Methods</w:t>
      </w:r>
    </w:p>
    <w:p w:rsidR="003147F6" w:rsidRPr="00886801" w:rsidRDefault="00C21B93" w:rsidP="00C21B93">
      <w:pPr>
        <w:spacing w:line="480" w:lineRule="auto"/>
        <w:rPr>
          <w:rFonts w:ascii="Times New Roman" w:hAnsi="Times New Roman"/>
        </w:rPr>
      </w:pPr>
      <w:r>
        <w:rPr>
          <w:rFonts w:ascii="Times New Roman" w:hAnsi="Times New Roman"/>
        </w:rPr>
        <w:tab/>
      </w:r>
      <w:r w:rsidR="00B62F89">
        <w:rPr>
          <w:rFonts w:ascii="Times New Roman" w:hAnsi="Times New Roman"/>
        </w:rPr>
        <w:t xml:space="preserve">Data from the </w:t>
      </w:r>
      <w:r w:rsidR="00886801">
        <w:rPr>
          <w:rFonts w:ascii="Times New Roman" w:hAnsi="Times New Roman"/>
        </w:rPr>
        <w:t>1999-2000</w:t>
      </w:r>
      <w:r w:rsidR="00B62F89">
        <w:rPr>
          <w:rFonts w:ascii="Times New Roman" w:hAnsi="Times New Roman"/>
        </w:rPr>
        <w:t xml:space="preserve"> School and Staffing Survey (</w:t>
      </w:r>
      <w:r w:rsidR="002672CF">
        <w:rPr>
          <w:rFonts w:ascii="Times New Roman" w:hAnsi="Times New Roman"/>
        </w:rPr>
        <w:t>NCES, 2000</w:t>
      </w:r>
      <w:r w:rsidR="00B62F89">
        <w:rPr>
          <w:rFonts w:ascii="Times New Roman" w:hAnsi="Times New Roman"/>
        </w:rPr>
        <w:t xml:space="preserve">) was analyzed to </w:t>
      </w:r>
      <w:r w:rsidR="00A60A46">
        <w:rPr>
          <w:rFonts w:ascii="Times New Roman" w:hAnsi="Times New Roman"/>
        </w:rPr>
        <w:t>determine</w:t>
      </w:r>
      <w:r w:rsidR="00886801">
        <w:rPr>
          <w:rFonts w:ascii="Times New Roman" w:hAnsi="Times New Roman"/>
        </w:rPr>
        <w:t xml:space="preserve"> the relative impact of different forms of teacher preparation and professional development on novice special education teachers’ classroom readiness.  The 1999-2000 SASS included six different components – </w:t>
      </w:r>
      <w:r w:rsidR="00886801" w:rsidRPr="00886801">
        <w:rPr>
          <w:rFonts w:ascii="Times New Roman" w:hAnsi="Times New Roman" w:cs="Times"/>
          <w:color w:val="000000"/>
          <w:szCs w:val="22"/>
        </w:rPr>
        <w:t>the School District Survey, the Principal Survey, the School Survey, the Teacher Survey, the School Library Media Center Survey, and the Teacher Follow</w:t>
      </w:r>
      <w:r w:rsidR="00AE2EF9">
        <w:rPr>
          <w:rFonts w:ascii="Times New Roman" w:hAnsi="Times New Roman" w:cs="Times"/>
          <w:color w:val="000000"/>
          <w:szCs w:val="22"/>
        </w:rPr>
        <w:t>-</w:t>
      </w:r>
      <w:r w:rsidR="00886801" w:rsidRPr="00886801">
        <w:rPr>
          <w:rFonts w:ascii="Times New Roman" w:hAnsi="Times New Roman" w:cs="Times"/>
          <w:color w:val="000000"/>
          <w:szCs w:val="22"/>
        </w:rPr>
        <w:t xml:space="preserve">up Survey. </w:t>
      </w:r>
      <w:r w:rsidR="00AE2EF9">
        <w:rPr>
          <w:rFonts w:ascii="Times New Roman" w:hAnsi="Times New Roman" w:cs="Times"/>
          <w:color w:val="000000"/>
          <w:szCs w:val="22"/>
        </w:rPr>
        <w:t xml:space="preserve"> </w:t>
      </w:r>
      <w:r w:rsidR="00886801">
        <w:rPr>
          <w:rFonts w:ascii="Times New Roman" w:hAnsi="Times New Roman" w:cs="Times"/>
          <w:color w:val="000000"/>
          <w:szCs w:val="22"/>
        </w:rPr>
        <w:t xml:space="preserve">Data from the Teacher Survey was used for this analysis.  </w:t>
      </w:r>
    </w:p>
    <w:p w:rsidR="00886801" w:rsidRDefault="003147F6" w:rsidP="003147F6">
      <w:pPr>
        <w:spacing w:line="480" w:lineRule="auto"/>
        <w:rPr>
          <w:rFonts w:ascii="Times New Roman" w:hAnsi="Times New Roman"/>
          <w:b/>
        </w:rPr>
      </w:pPr>
      <w:r w:rsidRPr="003147F6">
        <w:rPr>
          <w:rFonts w:ascii="Times New Roman" w:hAnsi="Times New Roman"/>
          <w:b/>
        </w:rPr>
        <w:t>Sample</w:t>
      </w:r>
    </w:p>
    <w:p w:rsidR="00603B58" w:rsidRDefault="00603B58" w:rsidP="007D0006">
      <w:pPr>
        <w:spacing w:line="480" w:lineRule="auto"/>
        <w:ind w:firstLine="720"/>
        <w:rPr>
          <w:rFonts w:ascii="Times New Roman" w:hAnsi="Times New Roman"/>
        </w:rPr>
      </w:pPr>
      <w:r>
        <w:rPr>
          <w:rFonts w:ascii="Times New Roman" w:hAnsi="Times New Roman"/>
        </w:rPr>
        <w:t>A nationally representative sample of schools was</w:t>
      </w:r>
      <w:r w:rsidR="00886801">
        <w:rPr>
          <w:rFonts w:ascii="Times New Roman" w:hAnsi="Times New Roman"/>
        </w:rPr>
        <w:t xml:space="preserve"> selected to</w:t>
      </w:r>
      <w:r>
        <w:rPr>
          <w:rFonts w:ascii="Times New Roman" w:hAnsi="Times New Roman"/>
        </w:rPr>
        <w:t xml:space="preserve"> complete SASS. A total of 51,811 public </w:t>
      </w:r>
      <w:r w:rsidR="003217CB">
        <w:rPr>
          <w:rFonts w:ascii="Times New Roman" w:hAnsi="Times New Roman"/>
        </w:rPr>
        <w:t xml:space="preserve">school teachers were surveyed, with an overall </w:t>
      </w:r>
      <w:r w:rsidR="005906C0">
        <w:rPr>
          <w:rFonts w:ascii="Times New Roman" w:hAnsi="Times New Roman"/>
        </w:rPr>
        <w:t>response rate of 76.6% (</w:t>
      </w:r>
      <w:r w:rsidR="002672CF">
        <w:rPr>
          <w:rFonts w:ascii="Times New Roman" w:hAnsi="Times New Roman"/>
        </w:rPr>
        <w:t>NCES, 2000</w:t>
      </w:r>
      <w:r w:rsidR="005906C0">
        <w:rPr>
          <w:rFonts w:ascii="Times New Roman" w:hAnsi="Times New Roman"/>
        </w:rPr>
        <w:t xml:space="preserve">).  </w:t>
      </w:r>
      <w:r>
        <w:rPr>
          <w:rFonts w:ascii="Times New Roman" w:hAnsi="Times New Roman"/>
        </w:rPr>
        <w:t xml:space="preserve">Of these teachers, </w:t>
      </w:r>
      <w:r w:rsidR="00AE2EF9">
        <w:rPr>
          <w:rFonts w:ascii="Times New Roman" w:hAnsi="Times New Roman"/>
        </w:rPr>
        <w:t xml:space="preserve">4,753 (9.07%) </w:t>
      </w:r>
      <w:r>
        <w:rPr>
          <w:rFonts w:ascii="Times New Roman" w:hAnsi="Times New Roman"/>
        </w:rPr>
        <w:t xml:space="preserve">were special education teachers.  Novice special education teachers with from one to three years of teaching experience accounted for </w:t>
      </w:r>
      <w:r w:rsidR="008343C4">
        <w:rPr>
          <w:rFonts w:ascii="Times New Roman" w:hAnsi="Times New Roman"/>
        </w:rPr>
        <w:t>816</w:t>
      </w:r>
      <w:r>
        <w:rPr>
          <w:rFonts w:ascii="Times New Roman" w:hAnsi="Times New Roman"/>
        </w:rPr>
        <w:t xml:space="preserve"> </w:t>
      </w:r>
      <w:r w:rsidR="005F1804">
        <w:rPr>
          <w:rFonts w:ascii="Times New Roman" w:hAnsi="Times New Roman"/>
        </w:rPr>
        <w:t>(17</w:t>
      </w:r>
      <w:r w:rsidR="00AE2EF9">
        <w:rPr>
          <w:rFonts w:ascii="Times New Roman" w:hAnsi="Times New Roman"/>
        </w:rPr>
        <w:t xml:space="preserve">.17%) </w:t>
      </w:r>
      <w:r>
        <w:rPr>
          <w:rFonts w:ascii="Times New Roman" w:hAnsi="Times New Roman"/>
        </w:rPr>
        <w:t xml:space="preserve">of these special education teachers. </w:t>
      </w:r>
      <w:r w:rsidR="007D0006">
        <w:rPr>
          <w:rFonts w:ascii="Times New Roman" w:hAnsi="Times New Roman"/>
        </w:rPr>
        <w:t xml:space="preserve">Novice special education teachers </w:t>
      </w:r>
      <w:r w:rsidR="00547978">
        <w:rPr>
          <w:rFonts w:ascii="Times New Roman" w:hAnsi="Times New Roman"/>
        </w:rPr>
        <w:t>who indicated that they</w:t>
      </w:r>
      <w:r w:rsidR="007D0006">
        <w:rPr>
          <w:rFonts w:ascii="Times New Roman" w:hAnsi="Times New Roman"/>
        </w:rPr>
        <w:t xml:space="preserve"> some sort of special education certification numbered 631. </w:t>
      </w:r>
      <w:r w:rsidR="00547978">
        <w:rPr>
          <w:rFonts w:ascii="Times New Roman" w:hAnsi="Times New Roman"/>
        </w:rPr>
        <w:t xml:space="preserve"> (This means that an alarming 22.7% of new special education teachers were not certified in special education.)  However, n</w:t>
      </w:r>
      <w:r>
        <w:rPr>
          <w:rFonts w:ascii="Times New Roman" w:hAnsi="Times New Roman"/>
        </w:rPr>
        <w:t xml:space="preserve">ot all </w:t>
      </w:r>
      <w:r w:rsidR="007D0006">
        <w:rPr>
          <w:rFonts w:ascii="Times New Roman" w:hAnsi="Times New Roman"/>
        </w:rPr>
        <w:t xml:space="preserve">of the 631 </w:t>
      </w:r>
      <w:r>
        <w:rPr>
          <w:rFonts w:ascii="Times New Roman" w:hAnsi="Times New Roman"/>
        </w:rPr>
        <w:t xml:space="preserve">novice teachers </w:t>
      </w:r>
      <w:r w:rsidR="007D0006">
        <w:rPr>
          <w:rFonts w:ascii="Times New Roman" w:hAnsi="Times New Roman"/>
        </w:rPr>
        <w:t xml:space="preserve">with certification </w:t>
      </w:r>
      <w:r>
        <w:rPr>
          <w:rFonts w:ascii="Times New Roman" w:hAnsi="Times New Roman"/>
        </w:rPr>
        <w:t xml:space="preserve">completed all items </w:t>
      </w:r>
      <w:r w:rsidR="005F1804">
        <w:rPr>
          <w:rFonts w:ascii="Times New Roman" w:hAnsi="Times New Roman"/>
        </w:rPr>
        <w:t>on</w:t>
      </w:r>
      <w:r>
        <w:rPr>
          <w:rFonts w:ascii="Times New Roman" w:hAnsi="Times New Roman"/>
        </w:rPr>
        <w:t xml:space="preserve"> the </w:t>
      </w:r>
      <w:r w:rsidR="005F1804">
        <w:rPr>
          <w:rFonts w:ascii="Times New Roman" w:hAnsi="Times New Roman"/>
        </w:rPr>
        <w:t>classroom readiness scale</w:t>
      </w:r>
      <w:r>
        <w:rPr>
          <w:rFonts w:ascii="Times New Roman" w:hAnsi="Times New Roman"/>
        </w:rPr>
        <w:t xml:space="preserve"> and, therefore, their data was not included in this analysis.  A final sample of </w:t>
      </w:r>
      <w:r w:rsidR="003E21E9">
        <w:rPr>
          <w:rFonts w:ascii="Times New Roman" w:hAnsi="Times New Roman"/>
        </w:rPr>
        <w:t>601</w:t>
      </w:r>
      <w:r>
        <w:rPr>
          <w:rFonts w:ascii="Times New Roman" w:hAnsi="Times New Roman"/>
        </w:rPr>
        <w:t xml:space="preserve"> novice special education teachers was included in this analysis.</w:t>
      </w:r>
    </w:p>
    <w:p w:rsidR="003147F6" w:rsidRPr="00886801" w:rsidRDefault="00603B58" w:rsidP="00603B58">
      <w:pPr>
        <w:spacing w:line="480" w:lineRule="auto"/>
        <w:ind w:firstLine="720"/>
        <w:rPr>
          <w:rFonts w:ascii="Times New Roman" w:hAnsi="Times New Roman"/>
        </w:rPr>
      </w:pPr>
      <w:r>
        <w:rPr>
          <w:rFonts w:ascii="Times New Roman" w:hAnsi="Times New Roman"/>
        </w:rPr>
        <w:t xml:space="preserve">Of the </w:t>
      </w:r>
      <w:r w:rsidR="003E21E9">
        <w:rPr>
          <w:rFonts w:ascii="Times New Roman" w:hAnsi="Times New Roman"/>
        </w:rPr>
        <w:t>601</w:t>
      </w:r>
      <w:r>
        <w:rPr>
          <w:rFonts w:ascii="Times New Roman" w:hAnsi="Times New Roman"/>
        </w:rPr>
        <w:t xml:space="preserve"> novice special education teachers in the sample,</w:t>
      </w:r>
      <w:r w:rsidR="003E21E9">
        <w:rPr>
          <w:rFonts w:ascii="Times New Roman" w:hAnsi="Times New Roman"/>
        </w:rPr>
        <w:t xml:space="preserve"> 82.5% were female.  Most (55.9%) were less than 30 years old, with 22.1% between the ages of 30 and 39, 16.6% between the ages of 40 and 49, and 5.3% over the age of 50.  Additionally, 81.2% of respondents were White; 9.5% were Black; 4.5% were Hispanic; 2.7% were Asian or Pacific Islander; and 2.2% were American Indian or Alaska Native.  Most participants </w:t>
      </w:r>
      <w:r w:rsidR="009D1F34">
        <w:rPr>
          <w:rFonts w:ascii="Times New Roman" w:hAnsi="Times New Roman"/>
        </w:rPr>
        <w:t>taught grade</w:t>
      </w:r>
      <w:r w:rsidR="001253F2">
        <w:rPr>
          <w:rFonts w:ascii="Times New Roman" w:hAnsi="Times New Roman"/>
        </w:rPr>
        <w:t>s</w:t>
      </w:r>
      <w:r w:rsidR="009D1F34">
        <w:rPr>
          <w:rFonts w:ascii="Times New Roman" w:hAnsi="Times New Roman"/>
        </w:rPr>
        <w:t xml:space="preserve"> 9-12</w:t>
      </w:r>
      <w:r w:rsidR="003E21E9">
        <w:rPr>
          <w:rFonts w:ascii="Times New Roman" w:hAnsi="Times New Roman"/>
        </w:rPr>
        <w:t xml:space="preserve"> (</w:t>
      </w:r>
      <w:r w:rsidR="009D1F34">
        <w:rPr>
          <w:rFonts w:ascii="Times New Roman" w:hAnsi="Times New Roman"/>
        </w:rPr>
        <w:t>42.8</w:t>
      </w:r>
      <w:r w:rsidR="003E21E9">
        <w:rPr>
          <w:rFonts w:ascii="Times New Roman" w:hAnsi="Times New Roman"/>
        </w:rPr>
        <w:t xml:space="preserve">%), with </w:t>
      </w:r>
      <w:r w:rsidR="001253F2">
        <w:rPr>
          <w:rFonts w:ascii="Times New Roman" w:hAnsi="Times New Roman"/>
        </w:rPr>
        <w:t>27.3%</w:t>
      </w:r>
      <w:r w:rsidR="003E21E9">
        <w:rPr>
          <w:rFonts w:ascii="Times New Roman" w:hAnsi="Times New Roman"/>
        </w:rPr>
        <w:t xml:space="preserve"> teaching in elementary schools</w:t>
      </w:r>
      <w:r w:rsidR="009D1F34">
        <w:rPr>
          <w:rFonts w:ascii="Times New Roman" w:hAnsi="Times New Roman"/>
        </w:rPr>
        <w:t xml:space="preserve"> (grades k-4)</w:t>
      </w:r>
      <w:r w:rsidR="003E21E9">
        <w:rPr>
          <w:rFonts w:ascii="Times New Roman" w:hAnsi="Times New Roman"/>
        </w:rPr>
        <w:t xml:space="preserve">, and </w:t>
      </w:r>
      <w:r w:rsidR="001253F2">
        <w:rPr>
          <w:rFonts w:ascii="Times New Roman" w:hAnsi="Times New Roman"/>
        </w:rPr>
        <w:t>25.6</w:t>
      </w:r>
      <w:r w:rsidR="003E21E9">
        <w:rPr>
          <w:rFonts w:ascii="Times New Roman" w:hAnsi="Times New Roman"/>
        </w:rPr>
        <w:t xml:space="preserve">% teaching in </w:t>
      </w:r>
      <w:r w:rsidR="001253F2">
        <w:rPr>
          <w:rFonts w:ascii="Times New Roman" w:hAnsi="Times New Roman"/>
        </w:rPr>
        <w:t xml:space="preserve">middle </w:t>
      </w:r>
      <w:r w:rsidR="003E21E9">
        <w:rPr>
          <w:rFonts w:ascii="Times New Roman" w:hAnsi="Times New Roman"/>
        </w:rPr>
        <w:t>school</w:t>
      </w:r>
      <w:r w:rsidR="001253F2">
        <w:rPr>
          <w:rFonts w:ascii="Times New Roman" w:hAnsi="Times New Roman"/>
        </w:rPr>
        <w:t xml:space="preserve"> (grades 5-8)</w:t>
      </w:r>
      <w:r w:rsidR="003E21E9">
        <w:rPr>
          <w:rFonts w:ascii="Times New Roman" w:hAnsi="Times New Roman"/>
        </w:rPr>
        <w:t>.  Finally, most teachers in the sample (75.9%) held traditional teaching licenses, while 21.3% had provisional licenses and 2.8% held emergency licenses.  Demographic information by licensure type is presented in Table 1</w:t>
      </w:r>
      <w:r w:rsidR="000D5F78">
        <w:rPr>
          <w:rFonts w:ascii="Times New Roman" w:hAnsi="Times New Roman"/>
        </w:rPr>
        <w:t>.</w:t>
      </w:r>
    </w:p>
    <w:p w:rsidR="003147F6" w:rsidRPr="003147F6" w:rsidRDefault="003147F6" w:rsidP="003147F6">
      <w:pPr>
        <w:spacing w:line="480" w:lineRule="auto"/>
        <w:rPr>
          <w:rFonts w:ascii="Times New Roman" w:hAnsi="Times New Roman"/>
          <w:b/>
        </w:rPr>
      </w:pPr>
      <w:r w:rsidRPr="003147F6">
        <w:rPr>
          <w:rFonts w:ascii="Times New Roman" w:hAnsi="Times New Roman"/>
          <w:b/>
        </w:rPr>
        <w:t>Measures</w:t>
      </w:r>
    </w:p>
    <w:p w:rsidR="00CB0061" w:rsidRDefault="001A0BDC" w:rsidP="003147F6">
      <w:pPr>
        <w:spacing w:line="480" w:lineRule="auto"/>
        <w:rPr>
          <w:rFonts w:ascii="Times New Roman" w:hAnsi="Times New Roman"/>
        </w:rPr>
      </w:pPr>
      <w:r>
        <w:rPr>
          <w:rFonts w:ascii="Times New Roman" w:hAnsi="Times New Roman"/>
        </w:rPr>
        <w:tab/>
        <w:t>The Teacher Survey from the 1999-2000 School and Staffing Survey (SASS</w:t>
      </w:r>
      <w:r w:rsidR="005F1804">
        <w:rPr>
          <w:rFonts w:ascii="Times New Roman" w:hAnsi="Times New Roman"/>
        </w:rPr>
        <w:t xml:space="preserve">; </w:t>
      </w:r>
      <w:r w:rsidR="002672CF" w:rsidRPr="002672CF">
        <w:rPr>
          <w:rFonts w:ascii="Times New Roman" w:hAnsi="Times New Roman"/>
        </w:rPr>
        <w:t>NCES, 2000</w:t>
      </w:r>
      <w:r w:rsidRPr="002672CF">
        <w:rPr>
          <w:rFonts w:ascii="Times New Roman" w:hAnsi="Times New Roman"/>
        </w:rPr>
        <w:t>) was the data collection instrument for this analysis.  The Teacher Survey was divided i</w:t>
      </w:r>
      <w:r>
        <w:rPr>
          <w:rFonts w:ascii="Times New Roman" w:hAnsi="Times New Roman"/>
        </w:rPr>
        <w:t xml:space="preserve">nto </w:t>
      </w:r>
      <w:r w:rsidR="00BB5A46">
        <w:rPr>
          <w:rFonts w:ascii="Times New Roman" w:hAnsi="Times New Roman"/>
        </w:rPr>
        <w:t>eight</w:t>
      </w:r>
      <w:r>
        <w:rPr>
          <w:rFonts w:ascii="Times New Roman" w:hAnsi="Times New Roman"/>
        </w:rPr>
        <w:t xml:space="preserve"> section:</w:t>
      </w:r>
      <w:r w:rsidR="005906C0">
        <w:rPr>
          <w:rFonts w:ascii="Times New Roman" w:hAnsi="Times New Roman"/>
        </w:rPr>
        <w:t xml:space="preserve"> (a) general information about teaching and other experiences; (b) certification and training information; (c) professional development; (d) class organization; (e) resources and assessment of students; (f) working conditions; (g) decision making; and (h) general employment information.  A final section was included for respondents to provide contact information if they were willing to participate in a future follow-up survey.  </w:t>
      </w:r>
    </w:p>
    <w:p w:rsidR="00CB0061" w:rsidRDefault="00CB0061" w:rsidP="003147F6">
      <w:pPr>
        <w:spacing w:line="480" w:lineRule="auto"/>
        <w:rPr>
          <w:rFonts w:ascii="Times New Roman" w:hAnsi="Times New Roman"/>
        </w:rPr>
      </w:pPr>
      <w:r>
        <w:rPr>
          <w:rFonts w:ascii="Times New Roman" w:hAnsi="Times New Roman"/>
        </w:rPr>
        <w:tab/>
      </w:r>
      <w:r w:rsidRPr="00CB0061">
        <w:rPr>
          <w:rFonts w:ascii="Times New Roman" w:hAnsi="Times New Roman"/>
          <w:b/>
          <w:i/>
        </w:rPr>
        <w:t>Certification status.</w:t>
      </w:r>
      <w:r>
        <w:rPr>
          <w:rFonts w:ascii="Times New Roman" w:hAnsi="Times New Roman"/>
        </w:rPr>
        <w:t xml:space="preserve"> </w:t>
      </w:r>
      <w:r w:rsidR="00517EB8">
        <w:rPr>
          <w:rFonts w:ascii="Times New Roman" w:hAnsi="Times New Roman"/>
        </w:rPr>
        <w:t>The Teacher Survey asked respondents to indicate if they were certified in their main teaching assignment area and, if so, what type of certification they held.  Types of certification included: (a) a regular or standard teaching certificate; (b) a probationary certificate for which the teacher had completed all coursework but was still in the probationary teaching pe</w:t>
      </w:r>
      <w:r w:rsidR="00855AE9">
        <w:rPr>
          <w:rFonts w:ascii="Times New Roman" w:hAnsi="Times New Roman"/>
        </w:rPr>
        <w:t>riod required by the state; (c)</w:t>
      </w:r>
      <w:r w:rsidR="00517EB8">
        <w:rPr>
          <w:rFonts w:ascii="Times New Roman" w:hAnsi="Times New Roman"/>
        </w:rPr>
        <w:t xml:space="preserve"> a provisional license, which indicates that the teacher is participating in an “alternative licensure program;” (d) a temporary certificate that requires more coursework before receiving a traditional license; or (e) an emergency certificate for those with insufficient preparation who must complete a teacher preparation program to continue teaching.  For the purposes of this study, teachers </w:t>
      </w:r>
      <w:r w:rsidR="00855AE9">
        <w:rPr>
          <w:rFonts w:ascii="Times New Roman" w:hAnsi="Times New Roman"/>
        </w:rPr>
        <w:t>were</w:t>
      </w:r>
      <w:r w:rsidR="00517EB8">
        <w:rPr>
          <w:rFonts w:ascii="Times New Roman" w:hAnsi="Times New Roman"/>
        </w:rPr>
        <w:t xml:space="preserve"> classified into three certification categories.  First, those with a regular or probationary certificate are considered “traditionally certified” because they have completed all necessary coursework and experiences before entering the classroom.  Second, teacher</w:t>
      </w:r>
      <w:r w:rsidR="00855AE9">
        <w:rPr>
          <w:rFonts w:ascii="Times New Roman" w:hAnsi="Times New Roman"/>
        </w:rPr>
        <w:t>s</w:t>
      </w:r>
      <w:r w:rsidR="00517EB8">
        <w:rPr>
          <w:rFonts w:ascii="Times New Roman" w:hAnsi="Times New Roman"/>
        </w:rPr>
        <w:t xml:space="preserve"> with provisional or temporary certificates are labeled as “provisional” because they have only completed a portion of their preparatory coursework before beginning their teaching assignments.  Finally, teachers in the emergency certificate category are labeled “emergency” because they do not necessarily have any teacher preparation coursework before entering the classroom.</w:t>
      </w:r>
    </w:p>
    <w:p w:rsidR="00517EB8" w:rsidRDefault="00CB0061" w:rsidP="003147F6">
      <w:pPr>
        <w:spacing w:line="480" w:lineRule="auto"/>
        <w:rPr>
          <w:rFonts w:ascii="Times New Roman" w:hAnsi="Times New Roman"/>
        </w:rPr>
      </w:pPr>
      <w:r>
        <w:rPr>
          <w:rFonts w:ascii="Times New Roman" w:hAnsi="Times New Roman"/>
        </w:rPr>
        <w:tab/>
      </w:r>
      <w:r w:rsidRPr="00CB0061">
        <w:rPr>
          <w:rFonts w:ascii="Times New Roman" w:hAnsi="Times New Roman"/>
          <w:b/>
          <w:i/>
        </w:rPr>
        <w:t>Classroom readiness composite.</w:t>
      </w:r>
      <w:r>
        <w:rPr>
          <w:rFonts w:ascii="Times New Roman" w:hAnsi="Times New Roman"/>
        </w:rPr>
        <w:t xml:space="preserve"> </w:t>
      </w:r>
      <w:r w:rsidR="00517EB8">
        <w:rPr>
          <w:rFonts w:ascii="Times New Roman" w:hAnsi="Times New Roman"/>
        </w:rPr>
        <w:t xml:space="preserve"> Seven questions related to the teachers</w:t>
      </w:r>
      <w:r w:rsidR="000D6311">
        <w:rPr>
          <w:rFonts w:ascii="Times New Roman" w:hAnsi="Times New Roman"/>
        </w:rPr>
        <w:t>’</w:t>
      </w:r>
      <w:r w:rsidR="00517EB8">
        <w:rPr>
          <w:rFonts w:ascii="Times New Roman" w:hAnsi="Times New Roman"/>
        </w:rPr>
        <w:t xml:space="preserve"> readiness to perform classroom duties during their first year of teaching were included on the Teacher Survey.  Teachers were asked to rate their preparedness on a four point Likert-type scale where 1=not at all prepared, 2=somewhat prepared, 3=well prepared, and 4=very well prepared.  Sample items include:</w:t>
      </w:r>
    </w:p>
    <w:p w:rsidR="000D6311" w:rsidRDefault="00517EB8" w:rsidP="000D6311">
      <w:pPr>
        <w:pStyle w:val="ListParagraph"/>
        <w:numPr>
          <w:ilvl w:val="0"/>
          <w:numId w:val="2"/>
        </w:numPr>
        <w:spacing w:line="480" w:lineRule="auto"/>
        <w:rPr>
          <w:rFonts w:ascii="Times New Roman" w:hAnsi="Times New Roman"/>
        </w:rPr>
      </w:pPr>
      <w:r>
        <w:rPr>
          <w:rFonts w:ascii="Times New Roman" w:hAnsi="Times New Roman"/>
        </w:rPr>
        <w:t>In you</w:t>
      </w:r>
      <w:r w:rsidR="000D6311">
        <w:rPr>
          <w:rFonts w:ascii="Times New Roman" w:hAnsi="Times New Roman"/>
        </w:rPr>
        <w:t>r</w:t>
      </w:r>
      <w:r>
        <w:rPr>
          <w:rFonts w:ascii="Times New Roman" w:hAnsi="Times New Roman"/>
        </w:rPr>
        <w:t xml:space="preserve"> first year of teaching, how well prepared were you to handle</w:t>
      </w:r>
      <w:r w:rsidR="000D6311">
        <w:rPr>
          <w:rFonts w:ascii="Times New Roman" w:hAnsi="Times New Roman"/>
        </w:rPr>
        <w:t xml:space="preserve"> a range of classroom management or discipline situations</w:t>
      </w:r>
      <w:r w:rsidR="000D6311" w:rsidRPr="000D6311">
        <w:rPr>
          <w:rFonts w:ascii="Times New Roman" w:hAnsi="Times New Roman"/>
        </w:rPr>
        <w:t>?</w:t>
      </w:r>
    </w:p>
    <w:p w:rsidR="000D6311" w:rsidRDefault="000D6311" w:rsidP="000D6311">
      <w:pPr>
        <w:pStyle w:val="ListParagraph"/>
        <w:numPr>
          <w:ilvl w:val="0"/>
          <w:numId w:val="2"/>
        </w:numPr>
        <w:spacing w:line="480" w:lineRule="auto"/>
        <w:rPr>
          <w:rFonts w:ascii="Times New Roman" w:hAnsi="Times New Roman"/>
        </w:rPr>
      </w:pPr>
      <w:r>
        <w:rPr>
          <w:rFonts w:ascii="Times New Roman" w:hAnsi="Times New Roman"/>
        </w:rPr>
        <w:t>In your first year of teaching, how well prepared were you to plan lessons effectively?</w:t>
      </w:r>
    </w:p>
    <w:p w:rsidR="00CB0061" w:rsidRDefault="000D6311" w:rsidP="003147F6">
      <w:pPr>
        <w:spacing w:line="480" w:lineRule="auto"/>
        <w:rPr>
          <w:rFonts w:ascii="Times New Roman" w:hAnsi="Times New Roman"/>
        </w:rPr>
      </w:pPr>
      <w:r>
        <w:rPr>
          <w:rFonts w:ascii="Times New Roman" w:hAnsi="Times New Roman"/>
        </w:rPr>
        <w:t>To create the composite, participants’ scores on the seven items were summed and divided by the total number of items.  Cronbach’s alpha for the classroom readiness composite was .846.</w:t>
      </w:r>
    </w:p>
    <w:p w:rsidR="001A0BDC" w:rsidRPr="001A0BDC" w:rsidRDefault="00CB0061" w:rsidP="003147F6">
      <w:pPr>
        <w:spacing w:line="480" w:lineRule="auto"/>
        <w:rPr>
          <w:rFonts w:ascii="Times New Roman" w:hAnsi="Times New Roman"/>
        </w:rPr>
      </w:pPr>
      <w:r>
        <w:rPr>
          <w:rFonts w:ascii="Times New Roman" w:hAnsi="Times New Roman"/>
        </w:rPr>
        <w:tab/>
      </w:r>
      <w:r w:rsidRPr="00CB0061">
        <w:rPr>
          <w:rFonts w:ascii="Times New Roman" w:hAnsi="Times New Roman"/>
          <w:b/>
          <w:i/>
        </w:rPr>
        <w:t>Professional development activities.</w:t>
      </w:r>
      <w:r>
        <w:rPr>
          <w:rFonts w:ascii="Times New Roman" w:hAnsi="Times New Roman"/>
        </w:rPr>
        <w:t xml:space="preserve"> </w:t>
      </w:r>
      <w:r w:rsidR="00CB7746">
        <w:rPr>
          <w:rFonts w:ascii="Times New Roman" w:hAnsi="Times New Roman"/>
        </w:rPr>
        <w:t xml:space="preserve"> The Teacher Survey asked about professional development activities the teachers’ had participated in within the last 12 months.  Additional questions pertained to specific </w:t>
      </w:r>
      <w:r w:rsidR="00855AE9">
        <w:rPr>
          <w:rFonts w:ascii="Times New Roman" w:hAnsi="Times New Roman"/>
        </w:rPr>
        <w:t xml:space="preserve">types of </w:t>
      </w:r>
      <w:r w:rsidR="00CB7746">
        <w:rPr>
          <w:rFonts w:ascii="Times New Roman" w:hAnsi="Times New Roman"/>
        </w:rPr>
        <w:t xml:space="preserve">support provided during the first year of teaching, such as having a mentor or participating in an induction program.  Several of these items are included in this analysis to compare the effects of various professional development activities on classroom readiness: (a) participating in a first-year teacher induction program; (b) having a mentor during the first year of teaching; (c) taking university coursework toward certification or recertification; and (d) attending workshops, which was by far the most common professional development activity noted with 94.3% of respondents indicated that they had attending a workshop within the past year.  Rather than forming a professional development composite, each item </w:t>
      </w:r>
      <w:r w:rsidR="00A82C71">
        <w:rPr>
          <w:rFonts w:ascii="Times New Roman" w:hAnsi="Times New Roman"/>
        </w:rPr>
        <w:t>was</w:t>
      </w:r>
      <w:r w:rsidR="00CB7746">
        <w:rPr>
          <w:rFonts w:ascii="Times New Roman" w:hAnsi="Times New Roman"/>
        </w:rPr>
        <w:t xml:space="preserve"> analyzed individually to determine its </w:t>
      </w:r>
      <w:r w:rsidR="00A82C71">
        <w:rPr>
          <w:rFonts w:ascii="Times New Roman" w:hAnsi="Times New Roman"/>
        </w:rPr>
        <w:t>correlation with</w:t>
      </w:r>
      <w:r w:rsidR="00CB7746">
        <w:rPr>
          <w:rFonts w:ascii="Times New Roman" w:hAnsi="Times New Roman"/>
        </w:rPr>
        <w:t xml:space="preserve"> classroom readiness.</w:t>
      </w:r>
    </w:p>
    <w:p w:rsidR="005906C0" w:rsidRDefault="003147F6" w:rsidP="003147F6">
      <w:pPr>
        <w:spacing w:line="480" w:lineRule="auto"/>
        <w:rPr>
          <w:rFonts w:ascii="Times New Roman" w:hAnsi="Times New Roman"/>
          <w:b/>
        </w:rPr>
      </w:pPr>
      <w:r w:rsidRPr="003147F6">
        <w:rPr>
          <w:rFonts w:ascii="Times New Roman" w:hAnsi="Times New Roman"/>
          <w:b/>
        </w:rPr>
        <w:t>Procedures</w:t>
      </w:r>
    </w:p>
    <w:p w:rsidR="003217CB" w:rsidRDefault="003217CB" w:rsidP="003217CB">
      <w:pPr>
        <w:spacing w:line="480" w:lineRule="auto"/>
        <w:ind w:firstLine="720"/>
        <w:rPr>
          <w:rFonts w:ascii="Times New Roman" w:hAnsi="Times New Roman"/>
        </w:rPr>
      </w:pPr>
      <w:r>
        <w:rPr>
          <w:rFonts w:ascii="Times New Roman" w:hAnsi="Times New Roman"/>
        </w:rPr>
        <w:t xml:space="preserve">Data collection was completed during the 1999-2000 school year.  A nationally representative sample of schools was selected to participate in the SASS.  </w:t>
      </w:r>
      <w:r w:rsidR="005906C0">
        <w:rPr>
          <w:rFonts w:ascii="Times New Roman" w:hAnsi="Times New Roman"/>
        </w:rPr>
        <w:t xml:space="preserve">Within each </w:t>
      </w:r>
      <w:r w:rsidR="00A82C71">
        <w:rPr>
          <w:rFonts w:ascii="Times New Roman" w:hAnsi="Times New Roman"/>
        </w:rPr>
        <w:t>selected school</w:t>
      </w:r>
      <w:r w:rsidR="005906C0">
        <w:rPr>
          <w:rFonts w:ascii="Times New Roman" w:hAnsi="Times New Roman"/>
        </w:rPr>
        <w:t xml:space="preserve">, a sample of teachers was selected.  For this selection, teachers were stratified </w:t>
      </w:r>
      <w:r>
        <w:rPr>
          <w:rFonts w:ascii="Times New Roman" w:hAnsi="Times New Roman"/>
        </w:rPr>
        <w:t xml:space="preserve">first </w:t>
      </w:r>
      <w:r w:rsidR="005906C0">
        <w:rPr>
          <w:rFonts w:ascii="Times New Roman" w:hAnsi="Times New Roman"/>
        </w:rPr>
        <w:t xml:space="preserve">according to race (specifically Asian or Pacific Islander, and American Indian or Alaska Native), </w:t>
      </w:r>
      <w:r>
        <w:rPr>
          <w:rFonts w:ascii="Times New Roman" w:hAnsi="Times New Roman"/>
        </w:rPr>
        <w:t xml:space="preserve">then </w:t>
      </w:r>
      <w:r w:rsidR="005906C0">
        <w:rPr>
          <w:rFonts w:ascii="Times New Roman" w:hAnsi="Times New Roman"/>
        </w:rPr>
        <w:t xml:space="preserve">by teaching assignment (i.e., those teaching students who were classified as English Language Learners), </w:t>
      </w:r>
      <w:r>
        <w:rPr>
          <w:rFonts w:ascii="Times New Roman" w:hAnsi="Times New Roman"/>
        </w:rPr>
        <w:t xml:space="preserve">next </w:t>
      </w:r>
      <w:r w:rsidR="005906C0">
        <w:rPr>
          <w:rFonts w:ascii="Times New Roman" w:hAnsi="Times New Roman"/>
        </w:rPr>
        <w:t>by years teaching (i.e., novice teachers with from one to thre</w:t>
      </w:r>
      <w:r>
        <w:rPr>
          <w:rFonts w:ascii="Times New Roman" w:hAnsi="Times New Roman"/>
        </w:rPr>
        <w:t>e years of experience), and finally</w:t>
      </w:r>
      <w:r w:rsidR="005906C0">
        <w:rPr>
          <w:rFonts w:ascii="Times New Roman" w:hAnsi="Times New Roman"/>
        </w:rPr>
        <w:t xml:space="preserve"> teachers not in any of the above groups.</w:t>
      </w:r>
      <w:r>
        <w:rPr>
          <w:rFonts w:ascii="Times New Roman" w:hAnsi="Times New Roman"/>
        </w:rPr>
        <w:t xml:space="preserve"> </w:t>
      </w:r>
    </w:p>
    <w:p w:rsidR="00F92E79" w:rsidRDefault="003217CB" w:rsidP="003217CB">
      <w:pPr>
        <w:spacing w:line="480" w:lineRule="auto"/>
        <w:ind w:firstLine="720"/>
        <w:rPr>
          <w:rFonts w:ascii="Times New Roman" w:hAnsi="Times New Roman"/>
        </w:rPr>
      </w:pPr>
      <w:r>
        <w:rPr>
          <w:rFonts w:ascii="Times New Roman" w:hAnsi="Times New Roman"/>
        </w:rPr>
        <w:t>Selected teacher were mailed a copy of the survey, followed by a second mailing</w:t>
      </w:r>
      <w:r w:rsidR="00F92E79">
        <w:rPr>
          <w:rFonts w:ascii="Times New Roman" w:hAnsi="Times New Roman"/>
        </w:rPr>
        <w:t xml:space="preserve"> to those who did not respond.  After the second mailing, those who did not respond received a follow-up call from a call center.  If </w:t>
      </w:r>
      <w:r w:rsidR="00A82C71">
        <w:rPr>
          <w:rFonts w:ascii="Times New Roman" w:hAnsi="Times New Roman"/>
        </w:rPr>
        <w:t>teachers</w:t>
      </w:r>
      <w:r w:rsidR="00F92E79">
        <w:rPr>
          <w:rFonts w:ascii="Times New Roman" w:hAnsi="Times New Roman"/>
        </w:rPr>
        <w:t xml:space="preserve"> did not respond to the mailings </w:t>
      </w:r>
      <w:r w:rsidR="00A82C71">
        <w:rPr>
          <w:rFonts w:ascii="Times New Roman" w:hAnsi="Times New Roman"/>
        </w:rPr>
        <w:t>or</w:t>
      </w:r>
      <w:r w:rsidR="00F92E79">
        <w:rPr>
          <w:rFonts w:ascii="Times New Roman" w:hAnsi="Times New Roman"/>
        </w:rPr>
        <w:t xml:space="preserve"> phone calls, field staff were assigned to completed the surveys with teachers either over the phone or in person.</w:t>
      </w:r>
    </w:p>
    <w:p w:rsidR="003217CB" w:rsidRDefault="00F92E79" w:rsidP="003217CB">
      <w:pPr>
        <w:spacing w:line="480" w:lineRule="auto"/>
        <w:ind w:firstLine="720"/>
        <w:rPr>
          <w:rFonts w:ascii="Times New Roman" w:hAnsi="Times New Roman"/>
        </w:rPr>
      </w:pPr>
      <w:r>
        <w:rPr>
          <w:rFonts w:ascii="Times New Roman" w:hAnsi="Times New Roman"/>
        </w:rPr>
        <w:t>Three to four weeks after returning the mail survey, some teachers received re</w:t>
      </w:r>
      <w:r w:rsidR="00A82C71">
        <w:rPr>
          <w:rFonts w:ascii="Times New Roman" w:hAnsi="Times New Roman"/>
        </w:rPr>
        <w:t>-</w:t>
      </w:r>
      <w:r>
        <w:rPr>
          <w:rFonts w:ascii="Times New Roman" w:hAnsi="Times New Roman"/>
        </w:rPr>
        <w:t>interview surveys to establish the reliability of the SASS.  Items included on the re</w:t>
      </w:r>
      <w:r w:rsidR="00A82C71">
        <w:rPr>
          <w:rFonts w:ascii="Times New Roman" w:hAnsi="Times New Roman"/>
        </w:rPr>
        <w:t>-</w:t>
      </w:r>
      <w:r>
        <w:rPr>
          <w:rFonts w:ascii="Times New Roman" w:hAnsi="Times New Roman"/>
        </w:rPr>
        <w:t>interview surveys were those that were most critical or considered the most problematic.  All re</w:t>
      </w:r>
      <w:r w:rsidR="00A82C71">
        <w:rPr>
          <w:rFonts w:ascii="Times New Roman" w:hAnsi="Times New Roman"/>
        </w:rPr>
        <w:t>-</w:t>
      </w:r>
      <w:r>
        <w:rPr>
          <w:rFonts w:ascii="Times New Roman" w:hAnsi="Times New Roman"/>
        </w:rPr>
        <w:t>interview surveys were conducted via mail, and only those respondents who had completed the original survey by mail were eligible to participate in the re</w:t>
      </w:r>
      <w:r w:rsidR="00A82C71">
        <w:rPr>
          <w:rFonts w:ascii="Times New Roman" w:hAnsi="Times New Roman"/>
        </w:rPr>
        <w:t>-</w:t>
      </w:r>
      <w:r>
        <w:rPr>
          <w:rFonts w:ascii="Times New Roman" w:hAnsi="Times New Roman"/>
        </w:rPr>
        <w:t xml:space="preserve">interview survey.  </w:t>
      </w:r>
    </w:p>
    <w:p w:rsidR="003147F6" w:rsidRPr="003147F6" w:rsidRDefault="003147F6" w:rsidP="003147F6">
      <w:pPr>
        <w:spacing w:line="480" w:lineRule="auto"/>
        <w:rPr>
          <w:rFonts w:ascii="Times New Roman" w:hAnsi="Times New Roman"/>
          <w:b/>
        </w:rPr>
      </w:pPr>
      <w:r w:rsidRPr="003147F6">
        <w:rPr>
          <w:rFonts w:ascii="Times New Roman" w:hAnsi="Times New Roman"/>
          <w:b/>
        </w:rPr>
        <w:t>Data Analysis</w:t>
      </w:r>
    </w:p>
    <w:p w:rsidR="008C7421" w:rsidRDefault="00F977FB" w:rsidP="00F92E79">
      <w:pPr>
        <w:spacing w:line="480" w:lineRule="auto"/>
        <w:rPr>
          <w:rFonts w:ascii="Times New Roman" w:hAnsi="Times New Roman"/>
        </w:rPr>
      </w:pPr>
      <w:r>
        <w:rPr>
          <w:rFonts w:ascii="Times New Roman" w:hAnsi="Times New Roman"/>
        </w:rPr>
        <w:tab/>
        <w:t xml:space="preserve">Data were analyzed to provide descriptive information about the novice special education teachers who participated in the School and Staffing Survey (SASS), and to answer each research question.  </w:t>
      </w:r>
      <w:r w:rsidR="005B0F4C">
        <w:rPr>
          <w:rFonts w:ascii="Times New Roman" w:hAnsi="Times New Roman"/>
        </w:rPr>
        <w:t>First, a</w:t>
      </w:r>
      <w:r>
        <w:rPr>
          <w:rFonts w:ascii="Times New Roman" w:hAnsi="Times New Roman"/>
        </w:rPr>
        <w:t xml:space="preserve"> series of chi-square </w:t>
      </w:r>
      <w:r w:rsidR="008C7421">
        <w:rPr>
          <w:rFonts w:ascii="Times New Roman" w:hAnsi="Times New Roman"/>
        </w:rPr>
        <w:t>tests of association</w:t>
      </w:r>
      <w:r>
        <w:rPr>
          <w:rFonts w:ascii="Times New Roman" w:hAnsi="Times New Roman"/>
        </w:rPr>
        <w:t xml:space="preserve"> </w:t>
      </w:r>
      <w:r w:rsidR="00A82C71">
        <w:rPr>
          <w:rFonts w:ascii="Times New Roman" w:hAnsi="Times New Roman"/>
        </w:rPr>
        <w:t>were</w:t>
      </w:r>
      <w:r>
        <w:rPr>
          <w:rFonts w:ascii="Times New Roman" w:hAnsi="Times New Roman"/>
        </w:rPr>
        <w:t xml:space="preserve"> conducted to determine if there were differences between the teacher</w:t>
      </w:r>
      <w:r w:rsidR="00A82C71">
        <w:rPr>
          <w:rFonts w:ascii="Times New Roman" w:hAnsi="Times New Roman"/>
        </w:rPr>
        <w:t>s</w:t>
      </w:r>
      <w:r>
        <w:rPr>
          <w:rFonts w:ascii="Times New Roman" w:hAnsi="Times New Roman"/>
        </w:rPr>
        <w:t xml:space="preserve"> who </w:t>
      </w:r>
      <w:r w:rsidR="00A82C71">
        <w:rPr>
          <w:rFonts w:ascii="Times New Roman" w:hAnsi="Times New Roman"/>
        </w:rPr>
        <w:t>had</w:t>
      </w:r>
      <w:r>
        <w:rPr>
          <w:rFonts w:ascii="Times New Roman" w:hAnsi="Times New Roman"/>
        </w:rPr>
        <w:t xml:space="preserve"> traditional, provisional, and emergency teaching certificates in terms of gender, age, ethnicity, and grade level</w:t>
      </w:r>
      <w:r w:rsidR="008C7421">
        <w:rPr>
          <w:rFonts w:ascii="Times New Roman" w:hAnsi="Times New Roman"/>
        </w:rPr>
        <w:t xml:space="preserve">.  </w:t>
      </w:r>
    </w:p>
    <w:p w:rsidR="008C7421" w:rsidRDefault="005B0F4C" w:rsidP="008C7421">
      <w:pPr>
        <w:spacing w:line="480" w:lineRule="auto"/>
        <w:ind w:firstLine="720"/>
        <w:rPr>
          <w:rFonts w:ascii="Times New Roman" w:hAnsi="Times New Roman"/>
        </w:rPr>
      </w:pPr>
      <w:r>
        <w:rPr>
          <w:rFonts w:ascii="Times New Roman" w:hAnsi="Times New Roman"/>
        </w:rPr>
        <w:t>Second</w:t>
      </w:r>
      <w:r w:rsidR="008C7421">
        <w:rPr>
          <w:rFonts w:ascii="Times New Roman" w:hAnsi="Times New Roman"/>
        </w:rPr>
        <w:t xml:space="preserve">, a multiple regression analysis was conducted to determine the relative influence of different teacher </w:t>
      </w:r>
      <w:r w:rsidR="00A82C71">
        <w:rPr>
          <w:rFonts w:ascii="Times New Roman" w:hAnsi="Times New Roman"/>
        </w:rPr>
        <w:t>certification</w:t>
      </w:r>
      <w:r w:rsidR="008C7421">
        <w:rPr>
          <w:rFonts w:ascii="Times New Roman" w:hAnsi="Times New Roman"/>
        </w:rPr>
        <w:t xml:space="preserve"> tracks and professional development activities on the classroom </w:t>
      </w:r>
      <w:r w:rsidR="00A82C71">
        <w:rPr>
          <w:rFonts w:ascii="Times New Roman" w:hAnsi="Times New Roman"/>
        </w:rPr>
        <w:t>readiness</w:t>
      </w:r>
      <w:r w:rsidR="008C7421">
        <w:rPr>
          <w:rFonts w:ascii="Times New Roman" w:hAnsi="Times New Roman"/>
        </w:rPr>
        <w:t xml:space="preserve"> of first year special education teachers. </w:t>
      </w:r>
      <w:r w:rsidR="00A82C71">
        <w:rPr>
          <w:rFonts w:ascii="Times New Roman" w:hAnsi="Times New Roman"/>
        </w:rPr>
        <w:t xml:space="preserve"> Independent variables included in this analysis were type of teaching certificate</w:t>
      </w:r>
      <w:r w:rsidR="008C7421">
        <w:rPr>
          <w:rFonts w:ascii="Times New Roman" w:hAnsi="Times New Roman"/>
        </w:rPr>
        <w:t xml:space="preserve"> and </w:t>
      </w:r>
      <w:r w:rsidR="00A82C71">
        <w:rPr>
          <w:rFonts w:ascii="Times New Roman" w:hAnsi="Times New Roman"/>
        </w:rPr>
        <w:t xml:space="preserve">the four </w:t>
      </w:r>
      <w:r w:rsidR="008C7421">
        <w:rPr>
          <w:rFonts w:ascii="Times New Roman" w:hAnsi="Times New Roman"/>
        </w:rPr>
        <w:t>professional development variables (i.e., having a mentor during the first year, participating in a first year teacher induction program, completing certification coursework, and participating in workshops)</w:t>
      </w:r>
      <w:r w:rsidR="00A82C71">
        <w:rPr>
          <w:rFonts w:ascii="Times New Roman" w:hAnsi="Times New Roman"/>
        </w:rPr>
        <w:t>.  The dependent variable was the classroom readiness composite. Variables were analyzed in a stepwise fashion to identify those most highly correlated with greater levels of classroom readiness.</w:t>
      </w:r>
    </w:p>
    <w:p w:rsidR="00F92E79" w:rsidRPr="00F92E79" w:rsidRDefault="008C7421" w:rsidP="008C7421">
      <w:pPr>
        <w:spacing w:line="480" w:lineRule="auto"/>
        <w:ind w:firstLine="720"/>
        <w:rPr>
          <w:rFonts w:ascii="Times New Roman" w:hAnsi="Times New Roman"/>
        </w:rPr>
      </w:pPr>
      <w:r>
        <w:rPr>
          <w:rFonts w:ascii="Times New Roman" w:hAnsi="Times New Roman"/>
        </w:rPr>
        <w:t xml:space="preserve">Finally, an analysis of covariance (ANCOVA) was conducted to look more closely at differences in </w:t>
      </w:r>
      <w:r w:rsidR="00A82C71">
        <w:rPr>
          <w:rFonts w:ascii="Times New Roman" w:hAnsi="Times New Roman"/>
        </w:rPr>
        <w:t>classroom readiness</w:t>
      </w:r>
      <w:r>
        <w:rPr>
          <w:rFonts w:ascii="Times New Roman" w:hAnsi="Times New Roman"/>
        </w:rPr>
        <w:t xml:space="preserve"> across certification groups.  In this analysis, the classroom readiness composite was the dependent variable and certification status was the independent variable.  Age was chosen as a covariant because prior analysis showed a statistically significant, linear relationship between age and classroom readiness (</w:t>
      </w:r>
      <w:r w:rsidRPr="008B391E">
        <w:rPr>
          <w:rFonts w:ascii="Times New Roman" w:hAnsi="Times New Roman"/>
        </w:rPr>
        <w:t>r</w:t>
      </w:r>
      <w:r w:rsidRPr="008B391E">
        <w:rPr>
          <w:rFonts w:ascii="Times New Roman" w:hAnsi="Times New Roman"/>
          <w:vertAlign w:val="superscript"/>
        </w:rPr>
        <w:t>2</w:t>
      </w:r>
      <w:r w:rsidRPr="008B391E">
        <w:rPr>
          <w:rFonts w:ascii="Times New Roman" w:hAnsi="Times New Roman"/>
          <w:i/>
        </w:rPr>
        <w:t xml:space="preserve"> </w:t>
      </w:r>
      <w:r>
        <w:rPr>
          <w:rFonts w:ascii="Times New Roman" w:hAnsi="Times New Roman"/>
        </w:rPr>
        <w:t xml:space="preserve">= </w:t>
      </w:r>
      <w:r w:rsidR="008B391E">
        <w:rPr>
          <w:rFonts w:ascii="Times New Roman" w:hAnsi="Times New Roman"/>
        </w:rPr>
        <w:t>.008</w:t>
      </w:r>
      <w:r>
        <w:rPr>
          <w:rFonts w:ascii="Times New Roman" w:hAnsi="Times New Roman"/>
        </w:rPr>
        <w:t>,</w:t>
      </w:r>
      <w:r w:rsidR="008B391E">
        <w:rPr>
          <w:rFonts w:ascii="Times New Roman" w:hAnsi="Times New Roman"/>
        </w:rPr>
        <w:t xml:space="preserve"> </w:t>
      </w:r>
      <w:r w:rsidR="008B391E" w:rsidRPr="008B391E">
        <w:rPr>
          <w:rFonts w:ascii="Times New Roman" w:hAnsi="Times New Roman"/>
          <w:i/>
        </w:rPr>
        <w:t>F</w:t>
      </w:r>
      <w:r w:rsidR="008B391E">
        <w:rPr>
          <w:rFonts w:ascii="Times New Roman" w:hAnsi="Times New Roman"/>
        </w:rPr>
        <w:t>(1,599) = 4.990,</w:t>
      </w:r>
      <w:r>
        <w:rPr>
          <w:rFonts w:ascii="Times New Roman" w:hAnsi="Times New Roman"/>
        </w:rPr>
        <w:t xml:space="preserve"> </w:t>
      </w:r>
      <w:r w:rsidRPr="008B391E">
        <w:rPr>
          <w:rFonts w:ascii="Times New Roman" w:hAnsi="Times New Roman"/>
          <w:i/>
        </w:rPr>
        <w:t>p</w:t>
      </w:r>
      <w:r>
        <w:rPr>
          <w:rFonts w:ascii="Times New Roman" w:hAnsi="Times New Roman"/>
        </w:rPr>
        <w:t xml:space="preserve"> = </w:t>
      </w:r>
      <w:r w:rsidR="008B391E">
        <w:rPr>
          <w:rFonts w:ascii="Times New Roman" w:hAnsi="Times New Roman"/>
        </w:rPr>
        <w:t>.026</w:t>
      </w:r>
      <w:r>
        <w:rPr>
          <w:rFonts w:ascii="Times New Roman" w:hAnsi="Times New Roman"/>
        </w:rPr>
        <w:t>)</w:t>
      </w:r>
      <w:r w:rsidR="008B391E">
        <w:rPr>
          <w:rFonts w:ascii="Times New Roman" w:hAnsi="Times New Roman"/>
        </w:rPr>
        <w:t>.</w:t>
      </w:r>
    </w:p>
    <w:p w:rsidR="003147F6" w:rsidRPr="003147F6" w:rsidRDefault="003147F6" w:rsidP="003147F6">
      <w:pPr>
        <w:spacing w:line="480" w:lineRule="auto"/>
        <w:jc w:val="center"/>
        <w:rPr>
          <w:rFonts w:ascii="Times New Roman" w:hAnsi="Times New Roman"/>
          <w:b/>
        </w:rPr>
      </w:pPr>
      <w:r w:rsidRPr="003147F6">
        <w:rPr>
          <w:rFonts w:ascii="Times New Roman" w:hAnsi="Times New Roman"/>
          <w:b/>
        </w:rPr>
        <w:t>Results</w:t>
      </w:r>
    </w:p>
    <w:p w:rsidR="008B391E" w:rsidRPr="008B391E" w:rsidRDefault="002D6226" w:rsidP="008B391E">
      <w:pPr>
        <w:spacing w:line="480" w:lineRule="auto"/>
        <w:rPr>
          <w:rFonts w:ascii="Times New Roman" w:hAnsi="Times New Roman"/>
        </w:rPr>
      </w:pPr>
      <w:r>
        <w:rPr>
          <w:rFonts w:ascii="Times New Roman" w:hAnsi="Times New Roman"/>
        </w:rPr>
        <w:tab/>
        <w:t xml:space="preserve">First, chi square tests of association were conducted to determine whether there were gender, age, ethnicity, or grade level differences in the types of teachers who were traditionally certified, provisionally certified, or traditionally certified.  None of the chi square tests obtained a statistically </w:t>
      </w:r>
      <w:r w:rsidR="00F23EDB">
        <w:rPr>
          <w:rFonts w:ascii="Times New Roman" w:hAnsi="Times New Roman"/>
        </w:rPr>
        <w:t>significant result</w:t>
      </w:r>
      <w:r>
        <w:rPr>
          <w:rFonts w:ascii="Times New Roman" w:hAnsi="Times New Roman"/>
        </w:rPr>
        <w:t>, indicating th</w:t>
      </w:r>
      <w:r w:rsidR="000B0027">
        <w:rPr>
          <w:rFonts w:ascii="Times New Roman" w:hAnsi="Times New Roman"/>
        </w:rPr>
        <w:t>at there does not appear to be</w:t>
      </w:r>
      <w:r>
        <w:rPr>
          <w:rFonts w:ascii="Times New Roman" w:hAnsi="Times New Roman"/>
        </w:rPr>
        <w:t xml:space="preserve"> differences </w:t>
      </w:r>
      <w:r w:rsidR="000B0027">
        <w:rPr>
          <w:rFonts w:ascii="Times New Roman" w:hAnsi="Times New Roman"/>
        </w:rPr>
        <w:t>in certification type based on: (a) gender (</w:t>
      </w:r>
      <w:r w:rsidR="000B0027" w:rsidRPr="000B0027">
        <w:rPr>
          <w:rFonts w:ascii="Times New Roman" w:hAnsi="Times New Roman"/>
          <w:i/>
        </w:rPr>
        <w:t>x</w:t>
      </w:r>
      <w:r w:rsidR="000B0027" w:rsidRPr="000B0027">
        <w:rPr>
          <w:rFonts w:ascii="Times New Roman" w:hAnsi="Times New Roman"/>
          <w:i/>
          <w:vertAlign w:val="superscript"/>
        </w:rPr>
        <w:t>2</w:t>
      </w:r>
      <w:r w:rsidR="000B0027">
        <w:rPr>
          <w:rFonts w:ascii="Times New Roman" w:hAnsi="Times New Roman"/>
        </w:rPr>
        <w:t xml:space="preserve"> = 1.481, </w:t>
      </w:r>
      <w:r w:rsidR="000B0027" w:rsidRPr="000B0027">
        <w:rPr>
          <w:rFonts w:ascii="Times New Roman" w:hAnsi="Times New Roman"/>
          <w:i/>
        </w:rPr>
        <w:t>p</w:t>
      </w:r>
      <w:r w:rsidR="000B0027">
        <w:rPr>
          <w:rFonts w:ascii="Times New Roman" w:hAnsi="Times New Roman"/>
        </w:rPr>
        <w:t xml:space="preserve"> = 0.477);</w:t>
      </w:r>
      <w:r>
        <w:rPr>
          <w:rFonts w:ascii="Times New Roman" w:hAnsi="Times New Roman"/>
        </w:rPr>
        <w:t xml:space="preserve"> </w:t>
      </w:r>
      <w:r w:rsidR="000B0027">
        <w:rPr>
          <w:rFonts w:ascii="Times New Roman" w:hAnsi="Times New Roman"/>
        </w:rPr>
        <w:t>(b) age (</w:t>
      </w:r>
      <w:r w:rsidR="000B0027" w:rsidRPr="000B0027">
        <w:rPr>
          <w:rFonts w:ascii="Times New Roman" w:hAnsi="Times New Roman"/>
          <w:i/>
        </w:rPr>
        <w:t>x</w:t>
      </w:r>
      <w:r w:rsidR="000B0027" w:rsidRPr="000B0027">
        <w:rPr>
          <w:rFonts w:ascii="Times New Roman" w:hAnsi="Times New Roman"/>
          <w:i/>
          <w:vertAlign w:val="superscript"/>
        </w:rPr>
        <w:t>2</w:t>
      </w:r>
      <w:r w:rsidR="000B0027">
        <w:rPr>
          <w:rFonts w:ascii="Times New Roman" w:hAnsi="Times New Roman"/>
        </w:rPr>
        <w:t xml:space="preserve"> = 5.754, </w:t>
      </w:r>
      <w:r w:rsidR="000B0027" w:rsidRPr="000B0027">
        <w:rPr>
          <w:rFonts w:ascii="Times New Roman" w:hAnsi="Times New Roman"/>
          <w:i/>
        </w:rPr>
        <w:t>p</w:t>
      </w:r>
      <w:r w:rsidR="00F23EDB">
        <w:rPr>
          <w:rFonts w:ascii="Times New Roman" w:hAnsi="Times New Roman"/>
        </w:rPr>
        <w:t xml:space="preserve"> = .</w:t>
      </w:r>
      <w:r w:rsidR="000B0027">
        <w:rPr>
          <w:rFonts w:ascii="Times New Roman" w:hAnsi="Times New Roman"/>
        </w:rPr>
        <w:t>451); (c) ethnicity (</w:t>
      </w:r>
      <w:r w:rsidR="000B0027" w:rsidRPr="000B0027">
        <w:rPr>
          <w:rFonts w:ascii="Times New Roman" w:hAnsi="Times New Roman"/>
          <w:i/>
        </w:rPr>
        <w:t>x</w:t>
      </w:r>
      <w:r w:rsidR="000B0027" w:rsidRPr="000B0027">
        <w:rPr>
          <w:rFonts w:ascii="Times New Roman" w:hAnsi="Times New Roman"/>
          <w:i/>
          <w:vertAlign w:val="superscript"/>
        </w:rPr>
        <w:t>2</w:t>
      </w:r>
      <w:r w:rsidR="000B0027" w:rsidRPr="000B0027">
        <w:rPr>
          <w:rFonts w:ascii="Times New Roman" w:hAnsi="Times New Roman"/>
          <w:i/>
        </w:rPr>
        <w:t xml:space="preserve"> </w:t>
      </w:r>
      <w:r w:rsidR="000B0027">
        <w:rPr>
          <w:rFonts w:ascii="Times New Roman" w:hAnsi="Times New Roman"/>
        </w:rPr>
        <w:t xml:space="preserve">= 14.331, </w:t>
      </w:r>
      <w:r w:rsidR="000B0027" w:rsidRPr="000B0027">
        <w:rPr>
          <w:rFonts w:ascii="Times New Roman" w:hAnsi="Times New Roman"/>
          <w:i/>
        </w:rPr>
        <w:t>p</w:t>
      </w:r>
      <w:r w:rsidR="000B0027">
        <w:rPr>
          <w:rFonts w:ascii="Times New Roman" w:hAnsi="Times New Roman"/>
        </w:rPr>
        <w:t xml:space="preserve"> = .074); or (d) grade level (</w:t>
      </w:r>
      <w:r w:rsidR="000B0027" w:rsidRPr="000B0027">
        <w:rPr>
          <w:rFonts w:ascii="Times New Roman" w:hAnsi="Times New Roman"/>
          <w:i/>
        </w:rPr>
        <w:t>x</w:t>
      </w:r>
      <w:r w:rsidR="000B0027" w:rsidRPr="000B0027">
        <w:rPr>
          <w:rFonts w:ascii="Times New Roman" w:hAnsi="Times New Roman"/>
          <w:i/>
          <w:vertAlign w:val="superscript"/>
        </w:rPr>
        <w:t>2</w:t>
      </w:r>
      <w:r w:rsidR="000B0027">
        <w:rPr>
          <w:rFonts w:ascii="Times New Roman" w:hAnsi="Times New Roman"/>
        </w:rPr>
        <w:t xml:space="preserve"> = 4.208; </w:t>
      </w:r>
      <w:r w:rsidR="000B0027" w:rsidRPr="000B0027">
        <w:rPr>
          <w:rFonts w:ascii="Times New Roman" w:hAnsi="Times New Roman"/>
          <w:i/>
        </w:rPr>
        <w:t>p</w:t>
      </w:r>
      <w:r w:rsidR="000B0027">
        <w:rPr>
          <w:rFonts w:ascii="Times New Roman" w:hAnsi="Times New Roman"/>
        </w:rPr>
        <w:t xml:space="preserve"> = .649).</w:t>
      </w:r>
      <w:r>
        <w:rPr>
          <w:rFonts w:ascii="Times New Roman" w:hAnsi="Times New Roman"/>
        </w:rPr>
        <w:t xml:space="preserve"> </w:t>
      </w:r>
    </w:p>
    <w:p w:rsidR="00DD0359" w:rsidRPr="00974A5F" w:rsidRDefault="000B0027" w:rsidP="008B391E">
      <w:pPr>
        <w:spacing w:line="480" w:lineRule="auto"/>
        <w:rPr>
          <w:rFonts w:ascii="Times New Roman" w:hAnsi="Times New Roman"/>
          <w:highlight w:val="yellow"/>
        </w:rPr>
      </w:pPr>
      <w:r>
        <w:rPr>
          <w:rFonts w:ascii="Times New Roman" w:hAnsi="Times New Roman"/>
        </w:rPr>
        <w:tab/>
      </w:r>
      <w:r w:rsidRPr="0049450F">
        <w:rPr>
          <w:rFonts w:ascii="Times New Roman" w:hAnsi="Times New Roman"/>
        </w:rPr>
        <w:t xml:space="preserve">Next, a </w:t>
      </w:r>
      <w:r w:rsidR="0049450F">
        <w:rPr>
          <w:rFonts w:ascii="Times New Roman" w:hAnsi="Times New Roman"/>
        </w:rPr>
        <w:t xml:space="preserve">step-wise </w:t>
      </w:r>
      <w:r w:rsidRPr="0049450F">
        <w:rPr>
          <w:rFonts w:ascii="Times New Roman" w:hAnsi="Times New Roman"/>
        </w:rPr>
        <w:t xml:space="preserve">multiple regression </w:t>
      </w:r>
      <w:r w:rsidR="0049450F">
        <w:rPr>
          <w:rFonts w:ascii="Times New Roman" w:hAnsi="Times New Roman"/>
        </w:rPr>
        <w:t xml:space="preserve">analysis </w:t>
      </w:r>
      <w:r w:rsidRPr="0049450F">
        <w:rPr>
          <w:rFonts w:ascii="Times New Roman" w:hAnsi="Times New Roman"/>
        </w:rPr>
        <w:t xml:space="preserve">was conducted to determine the preparation and professional development activities that account for the greatest amount of variance in classroom readiness.  </w:t>
      </w:r>
      <w:r w:rsidR="00DD0359" w:rsidRPr="0049450F">
        <w:rPr>
          <w:rFonts w:ascii="Times New Roman" w:hAnsi="Times New Roman"/>
        </w:rPr>
        <w:t xml:space="preserve">Before conducting the analysis, diagnostic tests were performed to ensure that the data met the assumptions of multiple regression.  </w:t>
      </w:r>
      <w:r w:rsidR="0049450F" w:rsidRPr="0049450F">
        <w:rPr>
          <w:rFonts w:ascii="Times New Roman" w:hAnsi="Times New Roman"/>
        </w:rPr>
        <w:t xml:space="preserve">The data met the assumptions of linearity, normality of residuals, homoscedasticity, and multicollinearity.  Analyses of outliers and influential data points revealed two outliers for classroom readiness.  Therefore, analyses were rerun without the outlier.  </w:t>
      </w:r>
    </w:p>
    <w:p w:rsidR="00070980" w:rsidRPr="00070980" w:rsidRDefault="000B0027" w:rsidP="00DD0359">
      <w:pPr>
        <w:spacing w:line="480" w:lineRule="auto"/>
        <w:ind w:firstLine="720"/>
        <w:rPr>
          <w:rFonts w:ascii="Times New Roman" w:hAnsi="Times New Roman"/>
        </w:rPr>
      </w:pPr>
      <w:r w:rsidRPr="00070980">
        <w:rPr>
          <w:rFonts w:ascii="Times New Roman" w:hAnsi="Times New Roman"/>
        </w:rPr>
        <w:t>Results o</w:t>
      </w:r>
      <w:r w:rsidR="005B0F4C" w:rsidRPr="00070980">
        <w:rPr>
          <w:rFonts w:ascii="Times New Roman" w:hAnsi="Times New Roman"/>
        </w:rPr>
        <w:t xml:space="preserve">f the regression analysis </w:t>
      </w:r>
      <w:r w:rsidR="0049450F" w:rsidRPr="00070980">
        <w:rPr>
          <w:rFonts w:ascii="Times New Roman" w:hAnsi="Times New Roman"/>
        </w:rPr>
        <w:t>determined that</w:t>
      </w:r>
      <w:r w:rsidR="005B0F4C" w:rsidRPr="00070980">
        <w:rPr>
          <w:rFonts w:ascii="Times New Roman" w:hAnsi="Times New Roman"/>
        </w:rPr>
        <w:t xml:space="preserve"> the model of best fit include</w:t>
      </w:r>
      <w:r w:rsidR="0049450F" w:rsidRPr="00070980">
        <w:rPr>
          <w:rFonts w:ascii="Times New Roman" w:hAnsi="Times New Roman"/>
        </w:rPr>
        <w:t>d</w:t>
      </w:r>
      <w:r w:rsidR="005B0F4C" w:rsidRPr="00070980">
        <w:rPr>
          <w:rFonts w:ascii="Times New Roman" w:hAnsi="Times New Roman"/>
        </w:rPr>
        <w:t xml:space="preserve"> participation in a first-year induction program and </w:t>
      </w:r>
      <w:r w:rsidR="0049450F" w:rsidRPr="00070980">
        <w:rPr>
          <w:rFonts w:ascii="Times New Roman" w:hAnsi="Times New Roman"/>
        </w:rPr>
        <w:t>traditional licensure as</w:t>
      </w:r>
      <w:r w:rsidR="005B0F4C" w:rsidRPr="00070980">
        <w:rPr>
          <w:rFonts w:ascii="Times New Roman" w:hAnsi="Times New Roman"/>
        </w:rPr>
        <w:t xml:space="preserve"> predictors of classroom readiness (</w:t>
      </w:r>
      <w:r w:rsidR="0049450F" w:rsidRPr="006A7D32">
        <w:rPr>
          <w:rFonts w:ascii="Times New Roman" w:hAnsi="Times New Roman"/>
          <w:i/>
        </w:rPr>
        <w:t>R</w:t>
      </w:r>
      <w:r w:rsidR="005B0F4C" w:rsidRPr="006A7D32">
        <w:rPr>
          <w:rFonts w:ascii="Times New Roman" w:hAnsi="Times New Roman"/>
          <w:i/>
          <w:vertAlign w:val="superscript"/>
        </w:rPr>
        <w:t>2</w:t>
      </w:r>
      <w:r w:rsidR="0049450F" w:rsidRPr="006A7D32">
        <w:rPr>
          <w:rFonts w:ascii="Times New Roman" w:hAnsi="Times New Roman"/>
          <w:i/>
        </w:rPr>
        <w:t xml:space="preserve"> </w:t>
      </w:r>
      <w:r w:rsidR="0049450F" w:rsidRPr="00070980">
        <w:rPr>
          <w:rFonts w:ascii="Times New Roman" w:hAnsi="Times New Roman"/>
        </w:rPr>
        <w:t>= .021;</w:t>
      </w:r>
      <w:r w:rsidR="005B0F4C" w:rsidRPr="00070980">
        <w:rPr>
          <w:rFonts w:ascii="Times New Roman" w:hAnsi="Times New Roman"/>
        </w:rPr>
        <w:t xml:space="preserve"> </w:t>
      </w:r>
      <w:r w:rsidR="006A7D32" w:rsidRPr="006A7D32">
        <w:rPr>
          <w:rFonts w:ascii="Times New Roman" w:hAnsi="Times New Roman"/>
          <w:i/>
        </w:rPr>
        <w:t>R</w:t>
      </w:r>
      <w:r w:rsidR="006A7D32" w:rsidRPr="006A7D32">
        <w:rPr>
          <w:rFonts w:ascii="Times New Roman" w:hAnsi="Times New Roman"/>
          <w:i/>
          <w:vertAlign w:val="subscript"/>
        </w:rPr>
        <w:t>adj</w:t>
      </w:r>
      <w:r w:rsidR="006A7D32" w:rsidRPr="006A7D32">
        <w:rPr>
          <w:rFonts w:ascii="Times New Roman" w:hAnsi="Times New Roman"/>
          <w:i/>
          <w:vertAlign w:val="superscript"/>
        </w:rPr>
        <w:t>2</w:t>
      </w:r>
      <w:r w:rsidR="006A7D32" w:rsidRPr="006A7D32">
        <w:rPr>
          <w:rFonts w:ascii="Times New Roman" w:hAnsi="Times New Roman"/>
          <w:i/>
        </w:rPr>
        <w:t xml:space="preserve"> </w:t>
      </w:r>
      <w:r w:rsidR="006A7D32">
        <w:rPr>
          <w:rFonts w:ascii="Times New Roman" w:hAnsi="Times New Roman"/>
        </w:rPr>
        <w:t xml:space="preserve">= .018,  </w:t>
      </w:r>
      <w:r w:rsidR="0049450F" w:rsidRPr="006A7D32">
        <w:rPr>
          <w:rFonts w:ascii="Times New Roman" w:hAnsi="Times New Roman"/>
          <w:i/>
        </w:rPr>
        <w:t>F</w:t>
      </w:r>
      <w:r w:rsidR="0049450F" w:rsidRPr="00070980">
        <w:rPr>
          <w:rFonts w:ascii="Times New Roman" w:hAnsi="Times New Roman"/>
        </w:rPr>
        <w:t xml:space="preserve">(2, 598) = 6.377; </w:t>
      </w:r>
      <w:r w:rsidR="005B0F4C" w:rsidRPr="00070980">
        <w:rPr>
          <w:rFonts w:ascii="Times New Roman" w:hAnsi="Times New Roman"/>
          <w:i/>
        </w:rPr>
        <w:t>p</w:t>
      </w:r>
      <w:r w:rsidR="005B0F4C" w:rsidRPr="00070980">
        <w:rPr>
          <w:rFonts w:ascii="Times New Roman" w:hAnsi="Times New Roman"/>
        </w:rPr>
        <w:t xml:space="preserve"> = . 00</w:t>
      </w:r>
      <w:r w:rsidR="0049450F" w:rsidRPr="00070980">
        <w:rPr>
          <w:rFonts w:ascii="Times New Roman" w:hAnsi="Times New Roman"/>
        </w:rPr>
        <w:t>2</w:t>
      </w:r>
      <w:r w:rsidR="00BA07C0" w:rsidRPr="00070980">
        <w:rPr>
          <w:rFonts w:ascii="Times New Roman" w:hAnsi="Times New Roman"/>
        </w:rPr>
        <w:t xml:space="preserve">; See Table </w:t>
      </w:r>
      <w:r w:rsidR="00F23EDB">
        <w:rPr>
          <w:rFonts w:ascii="Times New Roman" w:hAnsi="Times New Roman"/>
        </w:rPr>
        <w:t>2</w:t>
      </w:r>
      <w:r w:rsidR="005B0F4C" w:rsidRPr="00070980">
        <w:rPr>
          <w:rFonts w:ascii="Times New Roman" w:hAnsi="Times New Roman"/>
        </w:rPr>
        <w:t xml:space="preserve">). </w:t>
      </w:r>
      <w:r w:rsidR="00DD0359" w:rsidRPr="00070980">
        <w:rPr>
          <w:rFonts w:ascii="Times New Roman" w:hAnsi="Times New Roman"/>
        </w:rPr>
        <w:t xml:space="preserve">In this model, participation in a first-year induction program </w:t>
      </w:r>
      <w:r w:rsidR="0049450F" w:rsidRPr="00070980">
        <w:rPr>
          <w:rFonts w:ascii="Times New Roman" w:hAnsi="Times New Roman"/>
        </w:rPr>
        <w:t>was negatively correlated with classroom readiness (</w:t>
      </w:r>
      <w:r w:rsidR="00070980" w:rsidRPr="00070980">
        <w:rPr>
          <w:rFonts w:ascii="Times New Roman" w:hAnsi="Times New Roman"/>
        </w:rPr>
        <w:sym w:font="Symbol" w:char="F062"/>
      </w:r>
      <w:r w:rsidR="00070980" w:rsidRPr="00070980">
        <w:rPr>
          <w:rFonts w:ascii="Times New Roman" w:hAnsi="Times New Roman"/>
        </w:rPr>
        <w:t xml:space="preserve"> = -.102)</w:t>
      </w:r>
      <w:r w:rsidR="0049450F" w:rsidRPr="00070980">
        <w:rPr>
          <w:rFonts w:ascii="Times New Roman" w:hAnsi="Times New Roman"/>
        </w:rPr>
        <w:t xml:space="preserve">, </w:t>
      </w:r>
      <w:r w:rsidR="00DD0359" w:rsidRPr="00070980">
        <w:rPr>
          <w:rFonts w:ascii="Times New Roman" w:hAnsi="Times New Roman"/>
        </w:rPr>
        <w:t xml:space="preserve">explains </w:t>
      </w:r>
      <w:r w:rsidR="00070980" w:rsidRPr="00070980">
        <w:rPr>
          <w:rFonts w:ascii="Times New Roman" w:hAnsi="Times New Roman"/>
        </w:rPr>
        <w:t>1.04</w:t>
      </w:r>
      <w:r w:rsidR="00DD0359" w:rsidRPr="00070980">
        <w:rPr>
          <w:rFonts w:ascii="Times New Roman" w:hAnsi="Times New Roman"/>
        </w:rPr>
        <w:t xml:space="preserve">% of the variance in classroom readiness above and beyond the other variables.  </w:t>
      </w:r>
      <w:r w:rsidR="00070980" w:rsidRPr="00070980">
        <w:rPr>
          <w:rFonts w:ascii="Times New Roman" w:hAnsi="Times New Roman"/>
        </w:rPr>
        <w:t>Traditional certification, on the other hand, was positively correlated with classroom readiness (</w:t>
      </w:r>
      <w:r w:rsidR="00070980" w:rsidRPr="00070980">
        <w:rPr>
          <w:rFonts w:ascii="Times New Roman" w:hAnsi="Times New Roman"/>
        </w:rPr>
        <w:sym w:font="Symbol" w:char="F062"/>
      </w:r>
      <w:r w:rsidR="00070980" w:rsidRPr="00070980">
        <w:rPr>
          <w:rFonts w:ascii="Times New Roman" w:hAnsi="Times New Roman"/>
        </w:rPr>
        <w:t xml:space="preserve"> = .101), accounting for 1.02%</w:t>
      </w:r>
      <w:r w:rsidR="00DD0359" w:rsidRPr="00070980">
        <w:rPr>
          <w:rFonts w:ascii="Times New Roman" w:hAnsi="Times New Roman"/>
        </w:rPr>
        <w:t xml:space="preserve"> of the variance in classroom readiness above and beyond the other variables</w:t>
      </w:r>
    </w:p>
    <w:p w:rsidR="00D71953" w:rsidRDefault="00BA07C0" w:rsidP="00DD0359">
      <w:pPr>
        <w:spacing w:line="480" w:lineRule="auto"/>
        <w:ind w:firstLine="720"/>
        <w:rPr>
          <w:rFonts w:ascii="Times New Roman" w:hAnsi="Times New Roman"/>
        </w:rPr>
      </w:pPr>
      <w:r w:rsidRPr="00070980">
        <w:rPr>
          <w:rFonts w:ascii="Times New Roman" w:hAnsi="Times New Roman"/>
        </w:rPr>
        <w:t xml:space="preserve">After removing the </w:t>
      </w:r>
      <w:r w:rsidR="00070980" w:rsidRPr="00070980">
        <w:rPr>
          <w:rFonts w:ascii="Times New Roman" w:hAnsi="Times New Roman"/>
        </w:rPr>
        <w:t>two</w:t>
      </w:r>
      <w:r w:rsidRPr="00070980">
        <w:rPr>
          <w:rFonts w:ascii="Times New Roman" w:hAnsi="Times New Roman"/>
        </w:rPr>
        <w:t xml:space="preserve"> outlying data points, the regression analysis was rerun.</w:t>
      </w:r>
      <w:r w:rsidR="00C77A66" w:rsidRPr="00070980">
        <w:rPr>
          <w:rFonts w:ascii="Times New Roman" w:hAnsi="Times New Roman"/>
        </w:rPr>
        <w:t xml:space="preserve">  The results varied </w:t>
      </w:r>
      <w:r w:rsidR="00070980" w:rsidRPr="00070980">
        <w:rPr>
          <w:rFonts w:ascii="Times New Roman" w:hAnsi="Times New Roman"/>
        </w:rPr>
        <w:t xml:space="preserve">slightly </w:t>
      </w:r>
      <w:r w:rsidR="00C77A66" w:rsidRPr="00070980">
        <w:rPr>
          <w:rFonts w:ascii="Times New Roman" w:hAnsi="Times New Roman"/>
        </w:rPr>
        <w:t>after removing the outliers (</w:t>
      </w:r>
      <w:r w:rsidR="00070980" w:rsidRPr="00070980">
        <w:rPr>
          <w:rFonts w:ascii="Times New Roman" w:hAnsi="Times New Roman"/>
          <w:i/>
        </w:rPr>
        <w:t>R</w:t>
      </w:r>
      <w:r w:rsidR="00C77A66" w:rsidRPr="00070980">
        <w:rPr>
          <w:rFonts w:ascii="Times New Roman" w:hAnsi="Times New Roman"/>
          <w:i/>
          <w:vertAlign w:val="superscript"/>
        </w:rPr>
        <w:t>2</w:t>
      </w:r>
      <w:r w:rsidR="00C77A66" w:rsidRPr="00070980">
        <w:rPr>
          <w:rFonts w:ascii="Times New Roman" w:hAnsi="Times New Roman"/>
        </w:rPr>
        <w:t xml:space="preserve"> = .</w:t>
      </w:r>
      <w:r w:rsidR="00070980" w:rsidRPr="00070980">
        <w:rPr>
          <w:rFonts w:ascii="Times New Roman" w:hAnsi="Times New Roman"/>
        </w:rPr>
        <w:t>022,</w:t>
      </w:r>
      <w:r w:rsidR="00C77A66" w:rsidRPr="00070980">
        <w:rPr>
          <w:rFonts w:ascii="Times New Roman" w:hAnsi="Times New Roman"/>
        </w:rPr>
        <w:t xml:space="preserve"> </w:t>
      </w:r>
      <w:r w:rsidR="006A7D32" w:rsidRPr="006A7D32">
        <w:rPr>
          <w:rFonts w:ascii="Times New Roman" w:hAnsi="Times New Roman"/>
          <w:i/>
        </w:rPr>
        <w:t>R</w:t>
      </w:r>
      <w:r w:rsidR="006A7D32" w:rsidRPr="006A7D32">
        <w:rPr>
          <w:rFonts w:ascii="Times New Roman" w:hAnsi="Times New Roman"/>
          <w:i/>
          <w:vertAlign w:val="subscript"/>
        </w:rPr>
        <w:t>adj</w:t>
      </w:r>
      <w:r w:rsidR="006A7D32" w:rsidRPr="006A7D32">
        <w:rPr>
          <w:rFonts w:ascii="Times New Roman" w:hAnsi="Times New Roman"/>
          <w:i/>
          <w:vertAlign w:val="superscript"/>
        </w:rPr>
        <w:t>2</w:t>
      </w:r>
      <w:r w:rsidR="006A7D32">
        <w:rPr>
          <w:rFonts w:ascii="Times New Roman" w:hAnsi="Times New Roman"/>
        </w:rPr>
        <w:t xml:space="preserve"> = .019, </w:t>
      </w:r>
      <w:r w:rsidR="003F57EF" w:rsidRPr="00070980">
        <w:rPr>
          <w:rFonts w:ascii="Times New Roman" w:hAnsi="Times New Roman"/>
          <w:i/>
        </w:rPr>
        <w:t>F</w:t>
      </w:r>
      <w:r w:rsidR="003F57EF" w:rsidRPr="00070980">
        <w:rPr>
          <w:rFonts w:ascii="Times New Roman" w:hAnsi="Times New Roman"/>
        </w:rPr>
        <w:t>(</w:t>
      </w:r>
      <w:r w:rsidR="00070980" w:rsidRPr="00070980">
        <w:rPr>
          <w:rFonts w:ascii="Times New Roman" w:hAnsi="Times New Roman"/>
        </w:rPr>
        <w:t>2</w:t>
      </w:r>
      <w:r w:rsidR="003F57EF" w:rsidRPr="00070980">
        <w:rPr>
          <w:rFonts w:ascii="Times New Roman" w:hAnsi="Times New Roman"/>
        </w:rPr>
        <w:t>, 59</w:t>
      </w:r>
      <w:r w:rsidR="00070980" w:rsidRPr="00070980">
        <w:rPr>
          <w:rFonts w:ascii="Times New Roman" w:hAnsi="Times New Roman"/>
        </w:rPr>
        <w:t>6</w:t>
      </w:r>
      <w:r w:rsidR="003F57EF" w:rsidRPr="00070980">
        <w:rPr>
          <w:rFonts w:ascii="Times New Roman" w:hAnsi="Times New Roman"/>
        </w:rPr>
        <w:t xml:space="preserve">) = </w:t>
      </w:r>
      <w:r w:rsidR="00070980" w:rsidRPr="00070980">
        <w:rPr>
          <w:rFonts w:ascii="Times New Roman" w:hAnsi="Times New Roman"/>
        </w:rPr>
        <w:t>6.847</w:t>
      </w:r>
      <w:r w:rsidR="003F57EF" w:rsidRPr="00070980">
        <w:rPr>
          <w:rFonts w:ascii="Times New Roman" w:hAnsi="Times New Roman"/>
        </w:rPr>
        <w:t xml:space="preserve">, </w:t>
      </w:r>
      <w:r w:rsidR="00C77A66" w:rsidRPr="00070980">
        <w:rPr>
          <w:rFonts w:ascii="Times New Roman" w:hAnsi="Times New Roman"/>
          <w:i/>
        </w:rPr>
        <w:t>p</w:t>
      </w:r>
      <w:r w:rsidR="00C77A66" w:rsidRPr="00070980">
        <w:rPr>
          <w:rFonts w:ascii="Times New Roman" w:hAnsi="Times New Roman"/>
        </w:rPr>
        <w:t xml:space="preserve"> = </w:t>
      </w:r>
      <w:r w:rsidR="00070980" w:rsidRPr="00070980">
        <w:rPr>
          <w:rFonts w:ascii="Times New Roman" w:hAnsi="Times New Roman"/>
        </w:rPr>
        <w:t>.001</w:t>
      </w:r>
      <w:r w:rsidR="003F57EF" w:rsidRPr="00070980">
        <w:rPr>
          <w:rFonts w:ascii="Times New Roman" w:hAnsi="Times New Roman"/>
        </w:rPr>
        <w:t>).  In the rerun model, participation in a first-year in</w:t>
      </w:r>
      <w:r w:rsidR="00070980" w:rsidRPr="00070980">
        <w:rPr>
          <w:rFonts w:ascii="Times New Roman" w:hAnsi="Times New Roman"/>
        </w:rPr>
        <w:t>duction program accounted for 1.06</w:t>
      </w:r>
      <w:r w:rsidR="003F57EF" w:rsidRPr="00070980">
        <w:rPr>
          <w:rFonts w:ascii="Times New Roman" w:hAnsi="Times New Roman"/>
        </w:rPr>
        <w:t>% of the unique variance in classroom readiness</w:t>
      </w:r>
      <w:r w:rsidR="00070980" w:rsidRPr="00070980">
        <w:rPr>
          <w:rFonts w:ascii="Times New Roman" w:hAnsi="Times New Roman"/>
        </w:rPr>
        <w:t>, and</w:t>
      </w:r>
      <w:r w:rsidR="003F57EF" w:rsidRPr="00070980">
        <w:rPr>
          <w:rFonts w:ascii="Times New Roman" w:hAnsi="Times New Roman"/>
        </w:rPr>
        <w:t xml:space="preserve"> </w:t>
      </w:r>
      <w:r w:rsidR="00070980" w:rsidRPr="00070980">
        <w:rPr>
          <w:rFonts w:ascii="Times New Roman" w:hAnsi="Times New Roman"/>
        </w:rPr>
        <w:t>traditional certification</w:t>
      </w:r>
      <w:r w:rsidR="003F57EF" w:rsidRPr="00070980">
        <w:rPr>
          <w:rFonts w:ascii="Times New Roman" w:hAnsi="Times New Roman"/>
        </w:rPr>
        <w:t xml:space="preserve"> accounted for </w:t>
      </w:r>
      <w:r w:rsidR="00070980" w:rsidRPr="00070980">
        <w:rPr>
          <w:rFonts w:ascii="Times New Roman" w:hAnsi="Times New Roman"/>
        </w:rPr>
        <w:t>1.19% of the variance.</w:t>
      </w:r>
    </w:p>
    <w:p w:rsidR="006E64B2" w:rsidRDefault="00D71953" w:rsidP="00DD0359">
      <w:pPr>
        <w:spacing w:line="480" w:lineRule="auto"/>
        <w:ind w:firstLine="720"/>
        <w:rPr>
          <w:rFonts w:ascii="Times New Roman" w:hAnsi="Times New Roman"/>
        </w:rPr>
      </w:pPr>
      <w:r>
        <w:rPr>
          <w:rFonts w:ascii="Times New Roman" w:hAnsi="Times New Roman"/>
        </w:rPr>
        <w:t>Lastly, an ANCOVA was conducted to determine if there were differences in classroom readiness for teachers with traditional certification, provisional certification, and emergency certification.  Age was the controlling variable because of its statistically significant relationship to classroom readiness</w:t>
      </w:r>
      <w:r w:rsidR="00974A5F">
        <w:rPr>
          <w:rFonts w:ascii="Times New Roman" w:hAnsi="Times New Roman"/>
        </w:rPr>
        <w:t xml:space="preserve"> (</w:t>
      </w:r>
      <w:r w:rsidR="00974A5F" w:rsidRPr="00974A5F">
        <w:rPr>
          <w:rFonts w:ascii="Times New Roman" w:hAnsi="Times New Roman"/>
          <w:i/>
        </w:rPr>
        <w:t>r</w:t>
      </w:r>
      <w:r w:rsidR="00974A5F">
        <w:rPr>
          <w:rFonts w:ascii="Times New Roman" w:hAnsi="Times New Roman"/>
        </w:rPr>
        <w:t xml:space="preserve"> = .091, </w:t>
      </w:r>
      <w:r w:rsidR="00974A5F" w:rsidRPr="00974A5F">
        <w:rPr>
          <w:rFonts w:ascii="Times New Roman" w:hAnsi="Times New Roman"/>
          <w:i/>
        </w:rPr>
        <w:t>r</w:t>
      </w:r>
      <w:r w:rsidR="00974A5F" w:rsidRPr="00974A5F">
        <w:rPr>
          <w:rFonts w:ascii="Times New Roman" w:hAnsi="Times New Roman"/>
          <w:i/>
          <w:vertAlign w:val="superscript"/>
        </w:rPr>
        <w:t>2</w:t>
      </w:r>
      <w:r w:rsidR="00974A5F" w:rsidRPr="00974A5F">
        <w:rPr>
          <w:rFonts w:ascii="Times New Roman" w:hAnsi="Times New Roman"/>
          <w:i/>
        </w:rPr>
        <w:t xml:space="preserve"> </w:t>
      </w:r>
      <w:r w:rsidR="00974A5F">
        <w:rPr>
          <w:rFonts w:ascii="Times New Roman" w:hAnsi="Times New Roman"/>
        </w:rPr>
        <w:t xml:space="preserve">= .008; </w:t>
      </w:r>
      <w:r w:rsidR="00974A5F" w:rsidRPr="00974A5F">
        <w:rPr>
          <w:rFonts w:ascii="Times New Roman" w:hAnsi="Times New Roman"/>
          <w:i/>
        </w:rPr>
        <w:t>r</w:t>
      </w:r>
      <w:r w:rsidR="00974A5F" w:rsidRPr="00974A5F">
        <w:rPr>
          <w:rFonts w:ascii="Times New Roman" w:hAnsi="Times New Roman"/>
          <w:i/>
          <w:vertAlign w:val="subscript"/>
        </w:rPr>
        <w:t>adj</w:t>
      </w:r>
      <w:r w:rsidR="00974A5F" w:rsidRPr="00974A5F">
        <w:rPr>
          <w:rFonts w:ascii="Times New Roman" w:hAnsi="Times New Roman"/>
          <w:i/>
          <w:vertAlign w:val="superscript"/>
        </w:rPr>
        <w:t>2</w:t>
      </w:r>
      <w:r w:rsidR="00974A5F">
        <w:rPr>
          <w:rFonts w:ascii="Times New Roman" w:hAnsi="Times New Roman"/>
        </w:rPr>
        <w:t xml:space="preserve"> = .007; </w:t>
      </w:r>
      <w:r w:rsidR="00974A5F" w:rsidRPr="00974A5F">
        <w:rPr>
          <w:rFonts w:ascii="Times New Roman" w:hAnsi="Times New Roman"/>
          <w:i/>
        </w:rPr>
        <w:t>p</w:t>
      </w:r>
      <w:r w:rsidR="00974A5F">
        <w:rPr>
          <w:rFonts w:ascii="Times New Roman" w:hAnsi="Times New Roman"/>
        </w:rPr>
        <w:t xml:space="preserve"> = .026)</w:t>
      </w:r>
      <w:r>
        <w:rPr>
          <w:rFonts w:ascii="Times New Roman" w:hAnsi="Times New Roman"/>
        </w:rPr>
        <w:t xml:space="preserve">.  </w:t>
      </w:r>
      <w:r w:rsidR="001913C1">
        <w:rPr>
          <w:rFonts w:ascii="Times New Roman" w:hAnsi="Times New Roman"/>
        </w:rPr>
        <w:t>Before conducting the ANCOVA</w:t>
      </w:r>
      <w:r w:rsidR="000D4250">
        <w:rPr>
          <w:rFonts w:ascii="Times New Roman" w:hAnsi="Times New Roman"/>
        </w:rPr>
        <w:t>,</w:t>
      </w:r>
      <w:r w:rsidR="001913C1">
        <w:rPr>
          <w:rFonts w:ascii="Times New Roman" w:hAnsi="Times New Roman"/>
        </w:rPr>
        <w:t xml:space="preserve"> diagnostic tests were run to ensure that the data met the assumptions of homogeneity of regression slopes and homogeneity of variance.</w:t>
      </w:r>
      <w:r w:rsidR="00C31CD5">
        <w:rPr>
          <w:rFonts w:ascii="Times New Roman" w:hAnsi="Times New Roman"/>
        </w:rPr>
        <w:t xml:space="preserve">  Levene’s test was significant (</w:t>
      </w:r>
      <w:r w:rsidR="00C31CD5" w:rsidRPr="00533F30">
        <w:rPr>
          <w:rFonts w:ascii="Times New Roman" w:hAnsi="Times New Roman"/>
          <w:i/>
        </w:rPr>
        <w:t>F</w:t>
      </w:r>
      <w:r w:rsidR="00C31CD5">
        <w:rPr>
          <w:rFonts w:ascii="Times New Roman" w:hAnsi="Times New Roman"/>
        </w:rPr>
        <w:t>(2,59</w:t>
      </w:r>
      <w:r w:rsidR="00533F30">
        <w:rPr>
          <w:rFonts w:ascii="Times New Roman" w:hAnsi="Times New Roman"/>
        </w:rPr>
        <w:t>8</w:t>
      </w:r>
      <w:r w:rsidR="00C31CD5">
        <w:rPr>
          <w:rFonts w:ascii="Times New Roman" w:hAnsi="Times New Roman"/>
        </w:rPr>
        <w:t>) = 6.</w:t>
      </w:r>
      <w:r w:rsidR="00533F30">
        <w:rPr>
          <w:rFonts w:ascii="Times New Roman" w:hAnsi="Times New Roman"/>
        </w:rPr>
        <w:t>290</w:t>
      </w:r>
      <w:r w:rsidR="00C31CD5">
        <w:rPr>
          <w:rFonts w:ascii="Times New Roman" w:hAnsi="Times New Roman"/>
        </w:rPr>
        <w:t xml:space="preserve">, </w:t>
      </w:r>
      <w:r w:rsidR="00C31CD5" w:rsidRPr="00533F30">
        <w:rPr>
          <w:rFonts w:ascii="Times New Roman" w:hAnsi="Times New Roman"/>
          <w:i/>
        </w:rPr>
        <w:t>p</w:t>
      </w:r>
      <w:r w:rsidR="00C31CD5">
        <w:rPr>
          <w:rFonts w:ascii="Times New Roman" w:hAnsi="Times New Roman"/>
        </w:rPr>
        <w:t xml:space="preserve"> = .002), indicating that the assumption of homogeneity of variance was not met. </w:t>
      </w:r>
      <w:r w:rsidR="006E64B2">
        <w:rPr>
          <w:rFonts w:ascii="Times New Roman" w:hAnsi="Times New Roman"/>
        </w:rPr>
        <w:t xml:space="preserve">Because sample sizes were not </w:t>
      </w:r>
      <w:r w:rsidR="000D4250">
        <w:rPr>
          <w:rFonts w:ascii="Times New Roman" w:hAnsi="Times New Roman"/>
        </w:rPr>
        <w:t>equal, and the larger group (i.e., the traditionally certified group) has less variance than the smaller groups, ANCOVA was a liberal test</w:t>
      </w:r>
      <w:r w:rsidR="006E64B2">
        <w:rPr>
          <w:rFonts w:ascii="Times New Roman" w:hAnsi="Times New Roman"/>
        </w:rPr>
        <w:t xml:space="preserve"> </w:t>
      </w:r>
      <w:r w:rsidR="000D4250">
        <w:rPr>
          <w:rFonts w:ascii="Times New Roman" w:hAnsi="Times New Roman"/>
        </w:rPr>
        <w:t xml:space="preserve">in this case.  Therefore, caution must be taken when interpreting the results to avoid making a Type I error.  </w:t>
      </w:r>
      <w:r w:rsidR="00070BCD">
        <w:rPr>
          <w:rFonts w:ascii="Times New Roman" w:hAnsi="Times New Roman"/>
        </w:rPr>
        <w:t>The assumption of homogeneity of regression slopes for certification type and age was met (</w:t>
      </w:r>
      <w:r w:rsidR="00070BCD" w:rsidRPr="00070BCD">
        <w:rPr>
          <w:rFonts w:ascii="Times New Roman" w:hAnsi="Times New Roman"/>
          <w:i/>
        </w:rPr>
        <w:t>F</w:t>
      </w:r>
      <w:r w:rsidR="00070BCD">
        <w:rPr>
          <w:rFonts w:ascii="Times New Roman" w:hAnsi="Times New Roman"/>
        </w:rPr>
        <w:t>(2, 59</w:t>
      </w:r>
      <w:r w:rsidR="00533F30">
        <w:rPr>
          <w:rFonts w:ascii="Times New Roman" w:hAnsi="Times New Roman"/>
        </w:rPr>
        <w:t>5</w:t>
      </w:r>
      <w:r w:rsidR="00070BCD">
        <w:rPr>
          <w:rFonts w:ascii="Times New Roman" w:hAnsi="Times New Roman"/>
        </w:rPr>
        <w:t xml:space="preserve">) = </w:t>
      </w:r>
      <w:r w:rsidR="00533F30">
        <w:rPr>
          <w:rFonts w:ascii="Times New Roman" w:hAnsi="Times New Roman"/>
        </w:rPr>
        <w:t>.679</w:t>
      </w:r>
      <w:r w:rsidR="00070BCD">
        <w:rPr>
          <w:rFonts w:ascii="Times New Roman" w:hAnsi="Times New Roman"/>
        </w:rPr>
        <w:t xml:space="preserve">, </w:t>
      </w:r>
      <w:r w:rsidR="00070BCD" w:rsidRPr="00070BCD">
        <w:rPr>
          <w:rFonts w:ascii="Times New Roman" w:hAnsi="Times New Roman"/>
          <w:i/>
        </w:rPr>
        <w:t>p</w:t>
      </w:r>
      <w:r w:rsidR="00070BCD">
        <w:rPr>
          <w:rFonts w:ascii="Times New Roman" w:hAnsi="Times New Roman"/>
        </w:rPr>
        <w:t xml:space="preserve"> = .5</w:t>
      </w:r>
      <w:r w:rsidR="00533F30">
        <w:rPr>
          <w:rFonts w:ascii="Times New Roman" w:hAnsi="Times New Roman"/>
        </w:rPr>
        <w:t>07</w:t>
      </w:r>
      <w:r w:rsidR="00070BCD">
        <w:rPr>
          <w:rFonts w:ascii="Times New Roman" w:hAnsi="Times New Roman"/>
        </w:rPr>
        <w:t>).</w:t>
      </w:r>
      <w:r w:rsidR="006E64B2">
        <w:rPr>
          <w:rFonts w:ascii="Times New Roman" w:hAnsi="Times New Roman"/>
        </w:rPr>
        <w:t xml:space="preserve">  </w:t>
      </w:r>
    </w:p>
    <w:p w:rsidR="008B391E" w:rsidRPr="008B391E" w:rsidRDefault="006E64B2" w:rsidP="006E64B2">
      <w:pPr>
        <w:spacing w:line="480" w:lineRule="auto"/>
        <w:ind w:firstLine="720"/>
        <w:rPr>
          <w:rFonts w:ascii="Times New Roman" w:hAnsi="Times New Roman"/>
        </w:rPr>
      </w:pPr>
      <w:r>
        <w:rPr>
          <w:rFonts w:ascii="Times New Roman" w:hAnsi="Times New Roman"/>
        </w:rPr>
        <w:t>The ANCOVA test results were significant (</w:t>
      </w:r>
      <w:r w:rsidRPr="00533F30">
        <w:rPr>
          <w:rFonts w:ascii="Times New Roman" w:hAnsi="Times New Roman"/>
          <w:i/>
        </w:rPr>
        <w:t>F</w:t>
      </w:r>
      <w:r>
        <w:rPr>
          <w:rFonts w:ascii="Times New Roman" w:hAnsi="Times New Roman"/>
        </w:rPr>
        <w:t>(2, 59</w:t>
      </w:r>
      <w:r w:rsidR="00533F30">
        <w:rPr>
          <w:rFonts w:ascii="Times New Roman" w:hAnsi="Times New Roman"/>
        </w:rPr>
        <w:t>7) = 3.625</w:t>
      </w:r>
      <w:r>
        <w:rPr>
          <w:rFonts w:ascii="Times New Roman" w:hAnsi="Times New Roman"/>
        </w:rPr>
        <w:t xml:space="preserve">, </w:t>
      </w:r>
      <w:r w:rsidRPr="00533F30">
        <w:rPr>
          <w:rFonts w:ascii="Times New Roman" w:hAnsi="Times New Roman"/>
          <w:i/>
        </w:rPr>
        <w:t>p</w:t>
      </w:r>
      <w:r>
        <w:rPr>
          <w:rFonts w:ascii="Times New Roman" w:hAnsi="Times New Roman"/>
        </w:rPr>
        <w:t xml:space="preserve"> = .0</w:t>
      </w:r>
      <w:r w:rsidR="00533F30">
        <w:rPr>
          <w:rFonts w:ascii="Times New Roman" w:hAnsi="Times New Roman"/>
        </w:rPr>
        <w:t xml:space="preserve">27, </w:t>
      </w:r>
      <w:r w:rsidR="00533F30" w:rsidRPr="00533F30">
        <w:rPr>
          <w:rFonts w:ascii="Times New Roman" w:hAnsi="Times New Roman"/>
          <w:i/>
        </w:rPr>
        <w:t>p</w:t>
      </w:r>
      <w:r w:rsidR="00533F30" w:rsidRPr="00533F30">
        <w:rPr>
          <w:rFonts w:ascii="Times New Roman" w:hAnsi="Times New Roman"/>
          <w:i/>
        </w:rPr>
        <w:sym w:font="Symbol" w:char="F068"/>
      </w:r>
      <w:r w:rsidR="00B817C3" w:rsidRPr="00B817C3">
        <w:rPr>
          <w:rFonts w:ascii="Times New Roman" w:hAnsi="Times New Roman"/>
          <w:vertAlign w:val="superscript"/>
        </w:rPr>
        <w:t>2</w:t>
      </w:r>
      <w:r w:rsidR="00533F30">
        <w:rPr>
          <w:rFonts w:ascii="Times New Roman" w:hAnsi="Times New Roman"/>
        </w:rPr>
        <w:t xml:space="preserve"> = .012); See Table </w:t>
      </w:r>
      <w:r w:rsidR="00F23EDB">
        <w:rPr>
          <w:rFonts w:ascii="Times New Roman" w:hAnsi="Times New Roman"/>
        </w:rPr>
        <w:t>3</w:t>
      </w:r>
      <w:r>
        <w:rPr>
          <w:rFonts w:ascii="Times New Roman" w:hAnsi="Times New Roman"/>
        </w:rPr>
        <w:t xml:space="preserve">).  Again, this result must be interpreted with caution, given that the data did not meet the assumption of homogeneity of variance, making it easier to falsely find a significant result.  </w:t>
      </w:r>
      <w:r w:rsidR="00533F30">
        <w:rPr>
          <w:rFonts w:ascii="Times New Roman" w:hAnsi="Times New Roman"/>
        </w:rPr>
        <w:t xml:space="preserve">The </w:t>
      </w:r>
      <w:r w:rsidR="00B817C3">
        <w:rPr>
          <w:rFonts w:ascii="Times New Roman" w:hAnsi="Times New Roman"/>
        </w:rPr>
        <w:t xml:space="preserve">partial </w:t>
      </w:r>
      <w:r w:rsidR="00533F30">
        <w:rPr>
          <w:rFonts w:ascii="Times New Roman" w:hAnsi="Times New Roman"/>
        </w:rPr>
        <w:t>eta-squared effect size measure (</w:t>
      </w:r>
      <w:r w:rsidR="00533F30" w:rsidRPr="00533F30">
        <w:rPr>
          <w:rFonts w:ascii="Times New Roman" w:hAnsi="Times New Roman"/>
          <w:i/>
        </w:rPr>
        <w:t>p</w:t>
      </w:r>
      <w:r w:rsidR="00533F30" w:rsidRPr="00533F30">
        <w:rPr>
          <w:rFonts w:ascii="Times New Roman" w:hAnsi="Times New Roman"/>
          <w:i/>
        </w:rPr>
        <w:sym w:font="Symbol" w:char="F068"/>
      </w:r>
      <w:r w:rsidR="0050521D" w:rsidRPr="0050521D">
        <w:rPr>
          <w:rFonts w:ascii="Times New Roman" w:hAnsi="Times New Roman"/>
          <w:i/>
          <w:vertAlign w:val="superscript"/>
        </w:rPr>
        <w:t>2</w:t>
      </w:r>
      <w:r w:rsidR="00533F30">
        <w:rPr>
          <w:rFonts w:ascii="Times New Roman" w:hAnsi="Times New Roman"/>
        </w:rPr>
        <w:t xml:space="preserve"> = .012) indicates that the effect, if it is in fact significant, is quite small.  </w:t>
      </w:r>
      <w:r>
        <w:rPr>
          <w:rFonts w:ascii="Times New Roman" w:hAnsi="Times New Roman"/>
        </w:rPr>
        <w:t>Nevertheless, post-hoc tests were conducted to determine w</w:t>
      </w:r>
      <w:r w:rsidR="00B817C3">
        <w:rPr>
          <w:rFonts w:ascii="Times New Roman" w:hAnsi="Times New Roman"/>
        </w:rPr>
        <w:t>h</w:t>
      </w:r>
      <w:r>
        <w:rPr>
          <w:rFonts w:ascii="Times New Roman" w:hAnsi="Times New Roman"/>
        </w:rPr>
        <w:t xml:space="preserve">ere the differences were between the groups. </w:t>
      </w:r>
      <w:r w:rsidR="0050521D">
        <w:rPr>
          <w:rFonts w:ascii="Times New Roman" w:hAnsi="Times New Roman"/>
        </w:rPr>
        <w:t xml:space="preserve"> </w:t>
      </w:r>
      <w:r w:rsidR="00EC4CA6">
        <w:rPr>
          <w:rFonts w:ascii="Times New Roman" w:hAnsi="Times New Roman"/>
        </w:rPr>
        <w:t>There</w:t>
      </w:r>
      <w:r>
        <w:rPr>
          <w:rFonts w:ascii="Times New Roman" w:hAnsi="Times New Roman"/>
        </w:rPr>
        <w:t xml:space="preserve"> was a significant difference in classroom readiness between teachers with traditional certification and teachers with provisional certification, favoring those with traditional certification (</w:t>
      </w:r>
      <w:r w:rsidRPr="00533F30">
        <w:rPr>
          <w:rFonts w:ascii="Times New Roman" w:hAnsi="Times New Roman"/>
          <w:i/>
        </w:rPr>
        <w:t>F</w:t>
      </w:r>
      <w:r w:rsidR="00533F30">
        <w:rPr>
          <w:rFonts w:ascii="Times New Roman" w:hAnsi="Times New Roman"/>
        </w:rPr>
        <w:t>(1,597</w:t>
      </w:r>
      <w:r>
        <w:rPr>
          <w:rFonts w:ascii="Times New Roman" w:hAnsi="Times New Roman"/>
        </w:rPr>
        <w:t>) = 4.</w:t>
      </w:r>
      <w:r w:rsidR="00533F30">
        <w:rPr>
          <w:rFonts w:ascii="Times New Roman" w:hAnsi="Times New Roman"/>
        </w:rPr>
        <w:t>238</w:t>
      </w:r>
      <w:r>
        <w:rPr>
          <w:rFonts w:ascii="Times New Roman" w:hAnsi="Times New Roman"/>
        </w:rPr>
        <w:t xml:space="preserve">, </w:t>
      </w:r>
      <w:r w:rsidRPr="00533F30">
        <w:rPr>
          <w:rFonts w:ascii="Times New Roman" w:hAnsi="Times New Roman"/>
          <w:i/>
        </w:rPr>
        <w:t>p</w:t>
      </w:r>
      <w:r>
        <w:rPr>
          <w:rFonts w:ascii="Times New Roman" w:hAnsi="Times New Roman"/>
        </w:rPr>
        <w:t xml:space="preserve"> = .0</w:t>
      </w:r>
      <w:r w:rsidR="00533F30">
        <w:rPr>
          <w:rFonts w:ascii="Times New Roman" w:hAnsi="Times New Roman"/>
        </w:rPr>
        <w:t>40</w:t>
      </w:r>
      <w:r>
        <w:rPr>
          <w:rFonts w:ascii="Times New Roman" w:hAnsi="Times New Roman"/>
        </w:rPr>
        <w:t>).  There were no significant differences between teachers with traditional and emergency certification</w:t>
      </w:r>
      <w:r w:rsidR="00854D9F">
        <w:rPr>
          <w:rFonts w:ascii="Times New Roman" w:hAnsi="Times New Roman"/>
        </w:rPr>
        <w:t xml:space="preserve"> (</w:t>
      </w:r>
      <w:r w:rsidR="00854D9F" w:rsidRPr="00854D9F">
        <w:rPr>
          <w:rFonts w:ascii="Times New Roman" w:hAnsi="Times New Roman"/>
          <w:i/>
        </w:rPr>
        <w:t>F</w:t>
      </w:r>
      <w:r w:rsidR="00854D9F">
        <w:rPr>
          <w:rFonts w:ascii="Times New Roman" w:hAnsi="Times New Roman"/>
        </w:rPr>
        <w:t xml:space="preserve">(1,597) = 3.654; </w:t>
      </w:r>
      <w:r w:rsidR="00854D9F" w:rsidRPr="00854D9F">
        <w:rPr>
          <w:rFonts w:ascii="Times New Roman" w:hAnsi="Times New Roman"/>
          <w:i/>
        </w:rPr>
        <w:t>p</w:t>
      </w:r>
      <w:r w:rsidR="00854D9F">
        <w:rPr>
          <w:rFonts w:ascii="Times New Roman" w:hAnsi="Times New Roman"/>
        </w:rPr>
        <w:t xml:space="preserve"> = .056)</w:t>
      </w:r>
      <w:r>
        <w:rPr>
          <w:rFonts w:ascii="Times New Roman" w:hAnsi="Times New Roman"/>
        </w:rPr>
        <w:t xml:space="preserve">, or between teachers with provisional and </w:t>
      </w:r>
      <w:r w:rsidR="00854D9F">
        <w:rPr>
          <w:rFonts w:ascii="Times New Roman" w:hAnsi="Times New Roman"/>
        </w:rPr>
        <w:t>emergency certification (</w:t>
      </w:r>
      <w:r w:rsidR="00854D9F" w:rsidRPr="00854D9F">
        <w:rPr>
          <w:rFonts w:ascii="Times New Roman" w:hAnsi="Times New Roman"/>
          <w:i/>
        </w:rPr>
        <w:t>F</w:t>
      </w:r>
      <w:r w:rsidR="00854D9F">
        <w:rPr>
          <w:rFonts w:ascii="Times New Roman" w:hAnsi="Times New Roman"/>
        </w:rPr>
        <w:t xml:space="preserve">(1,597) = 1.065; </w:t>
      </w:r>
      <w:r w:rsidR="00854D9F" w:rsidRPr="00854D9F">
        <w:rPr>
          <w:rFonts w:ascii="Times New Roman" w:hAnsi="Times New Roman"/>
          <w:i/>
        </w:rPr>
        <w:t>p</w:t>
      </w:r>
      <w:r w:rsidR="00854D9F">
        <w:rPr>
          <w:rFonts w:ascii="Times New Roman" w:hAnsi="Times New Roman"/>
        </w:rPr>
        <w:t xml:space="preserve"> = .302)</w:t>
      </w:r>
      <w:r>
        <w:rPr>
          <w:rFonts w:ascii="Times New Roman" w:hAnsi="Times New Roman"/>
        </w:rPr>
        <w:t>.</w:t>
      </w:r>
      <w:r w:rsidR="00EC4CA6">
        <w:rPr>
          <w:rFonts w:ascii="Times New Roman" w:hAnsi="Times New Roman"/>
        </w:rPr>
        <w:t xml:space="preserve">   </w:t>
      </w:r>
    </w:p>
    <w:p w:rsidR="003147F6" w:rsidRPr="003147F6" w:rsidRDefault="003147F6" w:rsidP="003147F6">
      <w:pPr>
        <w:spacing w:line="480" w:lineRule="auto"/>
        <w:jc w:val="center"/>
        <w:rPr>
          <w:rFonts w:ascii="Times New Roman" w:hAnsi="Times New Roman"/>
          <w:b/>
        </w:rPr>
      </w:pPr>
      <w:r w:rsidRPr="003147F6">
        <w:rPr>
          <w:rFonts w:ascii="Times New Roman" w:hAnsi="Times New Roman"/>
          <w:b/>
        </w:rPr>
        <w:t>Discussion</w:t>
      </w:r>
    </w:p>
    <w:p w:rsidR="00EE14E3" w:rsidRDefault="00294E34" w:rsidP="0096773F">
      <w:pPr>
        <w:spacing w:line="480" w:lineRule="auto"/>
        <w:rPr>
          <w:rFonts w:ascii="Times New Roman" w:hAnsi="Times New Roman"/>
        </w:rPr>
      </w:pPr>
      <w:r>
        <w:rPr>
          <w:rFonts w:ascii="Times New Roman" w:hAnsi="Times New Roman"/>
        </w:rPr>
        <w:tab/>
        <w:t xml:space="preserve">The data from the School and Staffing Survey indicate that there are no significant differences between teachers who pursue traditional certification, provisional certification or emergency certification in terms of gender, age, ethnicity, or grade level.  In some ways this finding is surprising.  One might expect younger beginning teachers to have completed more traditional teacher preparation programs, while older beginning teachers might pursue alternative routes to the classroom that require less preparation time.  However, this does not appear to be the case.  One area where age had a small but significant impact was on teachers’ perceived classroom readiness.  </w:t>
      </w:r>
      <w:r w:rsidR="00EE14E3">
        <w:rPr>
          <w:rFonts w:ascii="Times New Roman" w:hAnsi="Times New Roman"/>
        </w:rPr>
        <w:t xml:space="preserve">Older first-year special education teachers felt they were less prepared for classroom tasks.  </w:t>
      </w:r>
    </w:p>
    <w:p w:rsidR="000B3285" w:rsidRDefault="00EE14E3" w:rsidP="000B3285">
      <w:pPr>
        <w:spacing w:line="480" w:lineRule="auto"/>
        <w:rPr>
          <w:rFonts w:ascii="Times New Roman" w:hAnsi="Times New Roman"/>
        </w:rPr>
      </w:pPr>
      <w:r>
        <w:rPr>
          <w:rFonts w:ascii="Times New Roman" w:hAnsi="Times New Roman"/>
        </w:rPr>
        <w:tab/>
      </w:r>
      <w:r w:rsidR="00070980">
        <w:rPr>
          <w:rFonts w:ascii="Times New Roman" w:hAnsi="Times New Roman"/>
        </w:rPr>
        <w:t xml:space="preserve">Results of the multiple regression analysis found that participation in a </w:t>
      </w:r>
      <w:r w:rsidR="009C03EC">
        <w:rPr>
          <w:rFonts w:ascii="Times New Roman" w:hAnsi="Times New Roman"/>
        </w:rPr>
        <w:t>first-year</w:t>
      </w:r>
      <w:r w:rsidR="00070980">
        <w:rPr>
          <w:rFonts w:ascii="Times New Roman" w:hAnsi="Times New Roman"/>
        </w:rPr>
        <w:t xml:space="preserve"> induction program and having a traditional teaching certificate were the two variables that had a statistically significant impact on </w:t>
      </w:r>
      <w:r w:rsidR="009C03EC">
        <w:rPr>
          <w:rFonts w:ascii="Times New Roman" w:hAnsi="Times New Roman"/>
        </w:rPr>
        <w:t xml:space="preserve">classroom readiness.  Surprisingly, participation in a first-year induction program actually had a negative impact on teacher readiness.  Why this is the case cannot be answered with the available SASS data.  Conversely, having a traditional teaching certificate was positively correlated with classroom readiness, although the amount of variance accounted for by certification type was small.  This smaller-than-anticipated </w:t>
      </w:r>
      <w:r w:rsidR="000B3285">
        <w:rPr>
          <w:rFonts w:ascii="Times New Roman" w:hAnsi="Times New Roman"/>
        </w:rPr>
        <w:t>relationship between certification and</w:t>
      </w:r>
      <w:r w:rsidR="009C03EC">
        <w:rPr>
          <w:rFonts w:ascii="Times New Roman" w:hAnsi="Times New Roman"/>
        </w:rPr>
        <w:t xml:space="preserve"> classroom readiness was reiterated in the findings of the ANOVA.  </w:t>
      </w:r>
      <w:r w:rsidR="0096773F">
        <w:rPr>
          <w:rFonts w:ascii="Times New Roman" w:hAnsi="Times New Roman"/>
        </w:rPr>
        <w:t xml:space="preserve">One might </w:t>
      </w:r>
      <w:r w:rsidR="00B817C3">
        <w:rPr>
          <w:rFonts w:ascii="Times New Roman" w:hAnsi="Times New Roman"/>
        </w:rPr>
        <w:t>expect teachers with more extensive preparation to feel mo</w:t>
      </w:r>
      <w:r w:rsidR="0096773F">
        <w:rPr>
          <w:rFonts w:ascii="Times New Roman" w:hAnsi="Times New Roman"/>
        </w:rPr>
        <w:t xml:space="preserve">re prepared </w:t>
      </w:r>
      <w:r w:rsidR="009C03EC">
        <w:rPr>
          <w:rFonts w:ascii="Times New Roman" w:hAnsi="Times New Roman"/>
        </w:rPr>
        <w:t>to perform classroom duties like behavior management, lesson planning, and assessment</w:t>
      </w:r>
      <w:r w:rsidR="0096773F">
        <w:rPr>
          <w:rFonts w:ascii="Times New Roman" w:hAnsi="Times New Roman"/>
        </w:rPr>
        <w:t>.</w:t>
      </w:r>
      <w:r w:rsidR="00B817C3">
        <w:rPr>
          <w:rFonts w:ascii="Times New Roman" w:hAnsi="Times New Roman"/>
        </w:rPr>
        <w:t xml:space="preserve">  </w:t>
      </w:r>
    </w:p>
    <w:p w:rsidR="003147F6" w:rsidRDefault="0096773F" w:rsidP="000B3285">
      <w:pPr>
        <w:spacing w:line="480" w:lineRule="auto"/>
        <w:ind w:firstLine="720"/>
        <w:rPr>
          <w:rFonts w:ascii="Times New Roman" w:hAnsi="Times New Roman"/>
        </w:rPr>
      </w:pPr>
      <w:r>
        <w:rPr>
          <w:rFonts w:ascii="Times New Roman" w:hAnsi="Times New Roman"/>
        </w:rPr>
        <w:t xml:space="preserve">A possible reason for this finding may be the nature of the classroom readiness measure. </w:t>
      </w:r>
      <w:r w:rsidR="00B817C3">
        <w:rPr>
          <w:rFonts w:ascii="Times New Roman" w:hAnsi="Times New Roman"/>
        </w:rPr>
        <w:t xml:space="preserve"> The SASS asked teachers how prepared they </w:t>
      </w:r>
      <w:r w:rsidR="00B817C3" w:rsidRPr="00B817C3">
        <w:rPr>
          <w:rFonts w:ascii="Times New Roman" w:hAnsi="Times New Roman"/>
          <w:i/>
        </w:rPr>
        <w:t>felt</w:t>
      </w:r>
      <w:r w:rsidR="00B817C3">
        <w:rPr>
          <w:rFonts w:ascii="Times New Roman" w:hAnsi="Times New Roman"/>
        </w:rPr>
        <w:t xml:space="preserve">, not about instructional or behavioral strategies they used.  In a study of novice teachers with traditional and alternative certification, Nougaret, Scruggs, and Mastropieri (2005) found significant differences </w:t>
      </w:r>
      <w:r w:rsidR="001D3A32">
        <w:rPr>
          <w:rFonts w:ascii="Times New Roman" w:hAnsi="Times New Roman"/>
        </w:rPr>
        <w:t>in planning and preparation, instruction, and classroom environment between the two groups of teachers (Cohen’s d = 1.5)</w:t>
      </w:r>
      <w:r w:rsidR="00294E34">
        <w:rPr>
          <w:rFonts w:ascii="Times New Roman" w:hAnsi="Times New Roman"/>
        </w:rPr>
        <w:t xml:space="preserve"> when they were observed by an experienced administrator</w:t>
      </w:r>
      <w:r w:rsidR="001D3A32">
        <w:rPr>
          <w:rFonts w:ascii="Times New Roman" w:hAnsi="Times New Roman"/>
        </w:rPr>
        <w:t xml:space="preserve">.  However, when asked to rate their perceptions of their </w:t>
      </w:r>
      <w:r w:rsidR="000B3285">
        <w:rPr>
          <w:rFonts w:ascii="Times New Roman" w:hAnsi="Times New Roman"/>
        </w:rPr>
        <w:t xml:space="preserve">own </w:t>
      </w:r>
      <w:r w:rsidR="001D3A32">
        <w:rPr>
          <w:rFonts w:ascii="Times New Roman" w:hAnsi="Times New Roman"/>
        </w:rPr>
        <w:t>abilities in these areas, traditionally certified and alternatively certified teachers reported similar levels of competence</w:t>
      </w:r>
      <w:r>
        <w:rPr>
          <w:rFonts w:ascii="Times New Roman" w:hAnsi="Times New Roman"/>
        </w:rPr>
        <w:t xml:space="preserve">.  Therefore, </w:t>
      </w:r>
      <w:r w:rsidR="00294E34">
        <w:rPr>
          <w:rFonts w:ascii="Times New Roman" w:hAnsi="Times New Roman"/>
        </w:rPr>
        <w:t>a</w:t>
      </w:r>
      <w:r>
        <w:rPr>
          <w:rFonts w:ascii="Times New Roman" w:hAnsi="Times New Roman"/>
        </w:rPr>
        <w:t xml:space="preserve"> self-report may not be the most accurate measure of how prepared first-year teachers are to provide instruction in ways that positively impact student achievement.</w:t>
      </w:r>
      <w:r w:rsidR="00294E34">
        <w:rPr>
          <w:rFonts w:ascii="Times New Roman" w:hAnsi="Times New Roman"/>
        </w:rPr>
        <w:t xml:space="preserve">  Measures of actual classroom performance and behaviors may provide a more meaningful measure of how well teachers with different levels of preparation perform their duties.</w:t>
      </w:r>
    </w:p>
    <w:p w:rsidR="00E218D6" w:rsidRPr="00E218D6" w:rsidRDefault="00055CFC" w:rsidP="003147F6">
      <w:pPr>
        <w:spacing w:line="480" w:lineRule="auto"/>
        <w:rPr>
          <w:rFonts w:ascii="Times New Roman" w:hAnsi="Times New Roman"/>
          <w:b/>
        </w:rPr>
      </w:pPr>
      <w:r w:rsidRPr="00055CFC">
        <w:rPr>
          <w:rFonts w:ascii="Times New Roman" w:hAnsi="Times New Roman"/>
          <w:b/>
        </w:rPr>
        <w:t>L</w:t>
      </w:r>
      <w:r w:rsidR="003147F6" w:rsidRPr="00055CFC">
        <w:rPr>
          <w:rFonts w:ascii="Times New Roman" w:hAnsi="Times New Roman"/>
          <w:b/>
        </w:rPr>
        <w:t>imitations</w:t>
      </w:r>
    </w:p>
    <w:p w:rsidR="000E4F6C" w:rsidRDefault="00EE14E3" w:rsidP="00E218D6">
      <w:pPr>
        <w:spacing w:line="480" w:lineRule="auto"/>
        <w:ind w:firstLine="720"/>
        <w:rPr>
          <w:rFonts w:ascii="Times New Roman" w:hAnsi="Times New Roman"/>
        </w:rPr>
      </w:pPr>
      <w:r>
        <w:rPr>
          <w:rFonts w:ascii="Times New Roman" w:hAnsi="Times New Roman"/>
        </w:rPr>
        <w:t xml:space="preserve">There are many limitations to this study.  </w:t>
      </w:r>
      <w:r w:rsidR="000E4F6C">
        <w:rPr>
          <w:rFonts w:ascii="Times New Roman" w:hAnsi="Times New Roman"/>
        </w:rPr>
        <w:t>In g</w:t>
      </w:r>
      <w:r w:rsidR="00C55281">
        <w:rPr>
          <w:rFonts w:ascii="Times New Roman" w:hAnsi="Times New Roman"/>
        </w:rPr>
        <w:t>eneral, this analysis relies on</w:t>
      </w:r>
      <w:r w:rsidR="000E4F6C">
        <w:rPr>
          <w:rFonts w:ascii="Times New Roman" w:hAnsi="Times New Roman"/>
        </w:rPr>
        <w:t xml:space="preserve"> basic analysis of a limited number of aspects of teacher preparation and professional dev</w:t>
      </w:r>
      <w:r w:rsidR="0014598E">
        <w:rPr>
          <w:rFonts w:ascii="Times New Roman" w:hAnsi="Times New Roman"/>
        </w:rPr>
        <w:t>elopment.  The School and Staff</w:t>
      </w:r>
      <w:r w:rsidR="000E4F6C">
        <w:rPr>
          <w:rFonts w:ascii="Times New Roman" w:hAnsi="Times New Roman"/>
        </w:rPr>
        <w:t>ing Survey is a rich source of information about teachers’ educational backgrounds</w:t>
      </w:r>
      <w:r w:rsidR="00C55281">
        <w:rPr>
          <w:rFonts w:ascii="Times New Roman" w:hAnsi="Times New Roman"/>
        </w:rPr>
        <w:t xml:space="preserve"> and </w:t>
      </w:r>
      <w:r w:rsidR="000E4F6C">
        <w:rPr>
          <w:rFonts w:ascii="Times New Roman" w:hAnsi="Times New Roman"/>
        </w:rPr>
        <w:t>their perceptions of the usefulness of a wide variety of professional development activities.  The minimal data analysis skills of this researcher inhibited a more in-depth, meaningful examination of this important topic.</w:t>
      </w:r>
    </w:p>
    <w:p w:rsidR="00E218D6" w:rsidRDefault="000E4F6C" w:rsidP="00E218D6">
      <w:pPr>
        <w:spacing w:line="480" w:lineRule="auto"/>
        <w:ind w:firstLine="720"/>
        <w:rPr>
          <w:rFonts w:ascii="Times New Roman" w:hAnsi="Times New Roman"/>
        </w:rPr>
      </w:pPr>
      <w:r>
        <w:rPr>
          <w:rFonts w:ascii="Times New Roman" w:hAnsi="Times New Roman"/>
        </w:rPr>
        <w:t>Another</w:t>
      </w:r>
      <w:r w:rsidR="00EE14E3">
        <w:rPr>
          <w:rFonts w:ascii="Times New Roman" w:hAnsi="Times New Roman"/>
        </w:rPr>
        <w:t xml:space="preserve"> significa</w:t>
      </w:r>
      <w:r>
        <w:rPr>
          <w:rFonts w:ascii="Times New Roman" w:hAnsi="Times New Roman"/>
        </w:rPr>
        <w:t>nt limitation of this study</w:t>
      </w:r>
      <w:r w:rsidR="00EE14E3">
        <w:rPr>
          <w:rFonts w:ascii="Times New Roman" w:hAnsi="Times New Roman"/>
        </w:rPr>
        <w:t xml:space="preserve"> is that t</w:t>
      </w:r>
      <w:r w:rsidR="00055CFC">
        <w:rPr>
          <w:rFonts w:ascii="Times New Roman" w:hAnsi="Times New Roman"/>
        </w:rPr>
        <w:t xml:space="preserve">hose </w:t>
      </w:r>
      <w:r w:rsidR="00EE14E3">
        <w:rPr>
          <w:rFonts w:ascii="Times New Roman" w:hAnsi="Times New Roman"/>
        </w:rPr>
        <w:t xml:space="preserve">teaching special education without any type of special education certification were not included in the analysis.  These teachers account for more than 20% of the special education teachers completing the survey.  Much could be learned about the impact of various professional development components by studying these uncertified teachers.  It is possible that these teachers are certified in other areas but find themselves teaching in special education.  More in-depth analysis of </w:t>
      </w:r>
      <w:r>
        <w:rPr>
          <w:rFonts w:ascii="Times New Roman" w:hAnsi="Times New Roman"/>
        </w:rPr>
        <w:t>teachers’ educational and professional development experiences can draw a more nuanced picture of how preparation and professional development impacts classroom readiness.</w:t>
      </w:r>
    </w:p>
    <w:p w:rsidR="00EE14E3" w:rsidRDefault="00E218D6" w:rsidP="003147F6">
      <w:pPr>
        <w:spacing w:line="480" w:lineRule="auto"/>
        <w:rPr>
          <w:rFonts w:ascii="Times New Roman" w:hAnsi="Times New Roman"/>
        </w:rPr>
      </w:pPr>
      <w:r>
        <w:rPr>
          <w:rFonts w:ascii="Times New Roman" w:hAnsi="Times New Roman"/>
        </w:rPr>
        <w:tab/>
      </w:r>
      <w:r w:rsidR="00E91F69">
        <w:rPr>
          <w:rFonts w:ascii="Times New Roman" w:hAnsi="Times New Roman"/>
        </w:rPr>
        <w:t xml:space="preserve">As previously mentioned, the ANCOVA results presented here must be interpreted with great caution.  Because the data did not meet the assumption of </w:t>
      </w:r>
      <w:r>
        <w:rPr>
          <w:rFonts w:ascii="Times New Roman" w:hAnsi="Times New Roman"/>
        </w:rPr>
        <w:t>h</w:t>
      </w:r>
      <w:r w:rsidR="00E91F69">
        <w:rPr>
          <w:rFonts w:ascii="Times New Roman" w:hAnsi="Times New Roman"/>
        </w:rPr>
        <w:t>omogeneity of regression slopes, it was easier to make a Type I error, finding a false positive result.  R</w:t>
      </w:r>
      <w:r>
        <w:rPr>
          <w:rFonts w:ascii="Times New Roman" w:hAnsi="Times New Roman"/>
        </w:rPr>
        <w:t xml:space="preserve">esults </w:t>
      </w:r>
      <w:r w:rsidR="00E91F69">
        <w:rPr>
          <w:rFonts w:ascii="Times New Roman" w:hAnsi="Times New Roman"/>
        </w:rPr>
        <w:t xml:space="preserve">of that analysis </w:t>
      </w:r>
      <w:r>
        <w:rPr>
          <w:rFonts w:ascii="Times New Roman" w:hAnsi="Times New Roman"/>
        </w:rPr>
        <w:t>must be verified by additional research</w:t>
      </w:r>
      <w:r w:rsidR="00E91F69">
        <w:rPr>
          <w:rFonts w:ascii="Times New Roman" w:hAnsi="Times New Roman"/>
        </w:rPr>
        <w:t xml:space="preserve"> before they can be interpreted as accurate and representative of the population of novice special education teachers.</w:t>
      </w:r>
    </w:p>
    <w:p w:rsidR="003147F6" w:rsidRDefault="000E4F6C" w:rsidP="000E4F6C">
      <w:pPr>
        <w:spacing w:line="480" w:lineRule="auto"/>
        <w:ind w:firstLine="720"/>
        <w:rPr>
          <w:rFonts w:ascii="Times New Roman" w:hAnsi="Times New Roman"/>
        </w:rPr>
      </w:pPr>
      <w:r>
        <w:rPr>
          <w:rFonts w:ascii="Times New Roman" w:hAnsi="Times New Roman"/>
        </w:rPr>
        <w:t>Lastly, measuring t</w:t>
      </w:r>
      <w:r w:rsidR="00EE14E3">
        <w:rPr>
          <w:rFonts w:ascii="Times New Roman" w:hAnsi="Times New Roman"/>
        </w:rPr>
        <w:t>eachers</w:t>
      </w:r>
      <w:r>
        <w:rPr>
          <w:rFonts w:ascii="Times New Roman" w:hAnsi="Times New Roman"/>
        </w:rPr>
        <w:t>’</w:t>
      </w:r>
      <w:r w:rsidR="00EE14E3">
        <w:rPr>
          <w:rFonts w:ascii="Times New Roman" w:hAnsi="Times New Roman"/>
        </w:rPr>
        <w:t xml:space="preserve"> perc</w:t>
      </w:r>
      <w:r>
        <w:rPr>
          <w:rFonts w:ascii="Times New Roman" w:hAnsi="Times New Roman"/>
        </w:rPr>
        <w:t xml:space="preserve">eptions of classroom readiness rather than their actual classroom performance is not the most accurate measure of how well prepared they are for the many aspects of teaching.  </w:t>
      </w:r>
      <w:r w:rsidR="00EE14E3">
        <w:rPr>
          <w:rFonts w:ascii="Times New Roman" w:hAnsi="Times New Roman"/>
        </w:rPr>
        <w:t>At least one research study (Nougaret et al., 2005) has shown that teacher’s perceptions and performance can be quite discrepant.</w:t>
      </w:r>
      <w:r>
        <w:rPr>
          <w:rFonts w:ascii="Times New Roman" w:hAnsi="Times New Roman"/>
        </w:rPr>
        <w:t xml:space="preserve">  Therefore, analyzing novice teachers’ perceptions may be of limited usefulness for improving teachers’ practice.</w:t>
      </w:r>
    </w:p>
    <w:p w:rsidR="00E218D6" w:rsidRDefault="00055CFC" w:rsidP="003147F6">
      <w:pPr>
        <w:spacing w:line="480" w:lineRule="auto"/>
        <w:rPr>
          <w:rFonts w:ascii="Times New Roman" w:hAnsi="Times New Roman"/>
          <w:b/>
        </w:rPr>
      </w:pPr>
      <w:r w:rsidRPr="00055CFC">
        <w:rPr>
          <w:rFonts w:ascii="Times New Roman" w:hAnsi="Times New Roman"/>
          <w:b/>
        </w:rPr>
        <w:t>D</w:t>
      </w:r>
      <w:r>
        <w:rPr>
          <w:rFonts w:ascii="Times New Roman" w:hAnsi="Times New Roman"/>
          <w:b/>
        </w:rPr>
        <w:t>irections for F</w:t>
      </w:r>
      <w:r w:rsidR="003147F6" w:rsidRPr="00055CFC">
        <w:rPr>
          <w:rFonts w:ascii="Times New Roman" w:hAnsi="Times New Roman"/>
          <w:b/>
        </w:rPr>
        <w:t>utu</w:t>
      </w:r>
      <w:r>
        <w:rPr>
          <w:rFonts w:ascii="Times New Roman" w:hAnsi="Times New Roman"/>
          <w:b/>
        </w:rPr>
        <w:t>re R</w:t>
      </w:r>
      <w:r w:rsidR="003147F6" w:rsidRPr="00055CFC">
        <w:rPr>
          <w:rFonts w:ascii="Times New Roman" w:hAnsi="Times New Roman"/>
          <w:b/>
        </w:rPr>
        <w:t>esearch</w:t>
      </w:r>
    </w:p>
    <w:p w:rsidR="00A03209" w:rsidRDefault="00A03209" w:rsidP="003147F6">
      <w:pPr>
        <w:spacing w:line="480" w:lineRule="auto"/>
        <w:rPr>
          <w:rFonts w:ascii="Times New Roman" w:hAnsi="Times New Roman"/>
        </w:rPr>
      </w:pPr>
      <w:r>
        <w:rPr>
          <w:rFonts w:ascii="Times New Roman" w:hAnsi="Times New Roman"/>
        </w:rPr>
        <w:tab/>
        <w:t xml:space="preserve">The findings presented here warrant further, more in-depth study.  </w:t>
      </w:r>
      <w:r w:rsidR="00BE3E9D">
        <w:rPr>
          <w:rFonts w:ascii="Times New Roman" w:hAnsi="Times New Roman"/>
        </w:rPr>
        <w:t xml:space="preserve">Research on effective, novice special education teachers is helping the field understand more precisely what knowledge and skills beginning teachers need to be effective.  </w:t>
      </w:r>
      <w:r>
        <w:rPr>
          <w:rFonts w:ascii="Times New Roman" w:hAnsi="Times New Roman"/>
        </w:rPr>
        <w:t xml:space="preserve">As the field of special education struggles to recruit and train the ever-increasing number of teachers required to serve students with special needs, understanding the most critical components of teacher preparation and professional development </w:t>
      </w:r>
      <w:r w:rsidR="00BE3E9D">
        <w:rPr>
          <w:rFonts w:ascii="Times New Roman" w:hAnsi="Times New Roman"/>
        </w:rPr>
        <w:t xml:space="preserve">needed to develop these skills </w:t>
      </w:r>
      <w:r>
        <w:rPr>
          <w:rFonts w:ascii="Times New Roman" w:hAnsi="Times New Roman"/>
        </w:rPr>
        <w:t xml:space="preserve">can help streamline the teacher preparation process. </w:t>
      </w:r>
      <w:r w:rsidR="00BE3E9D">
        <w:rPr>
          <w:rFonts w:ascii="Times New Roman" w:hAnsi="Times New Roman"/>
        </w:rPr>
        <w:t xml:space="preserve">  One area that warrants further investigation is the use of first-year induction programs.  More in-depth analysis of SASS data may reveal information about the characteristics of teachers who participate in these programs, and how those characteristics might also relate to readiness.  Additional research on the content and delivery of such induction programs may offer insights into why that model can be ineffective for some new teachers.</w:t>
      </w:r>
    </w:p>
    <w:p w:rsidR="00A03209" w:rsidRDefault="00BE3E9D" w:rsidP="003147F6">
      <w:pPr>
        <w:spacing w:line="480" w:lineRule="auto"/>
        <w:rPr>
          <w:rFonts w:ascii="Times New Roman" w:hAnsi="Times New Roman"/>
        </w:rPr>
      </w:pPr>
      <w:r>
        <w:rPr>
          <w:rFonts w:ascii="Times New Roman" w:hAnsi="Times New Roman"/>
        </w:rPr>
        <w:tab/>
        <w:t xml:space="preserve">While the impact of different certification paths does not appear to contribute greatly to teacher readiness in this analysis, some research studies suggest otherwise (e.g, Nougaret et al., 2005).  This is an emerging and important area of research.  Looking at the actual classroom practices of teachers with traditional and alternative certification can provide more useful information about the relative effectiveness of these different teacher preparation tracks. </w:t>
      </w:r>
    </w:p>
    <w:p w:rsidR="00BE3E9D" w:rsidRDefault="00BE3E9D" w:rsidP="003147F6">
      <w:pPr>
        <w:spacing w:line="480" w:lineRule="auto"/>
        <w:rPr>
          <w:rFonts w:ascii="Times New Roman" w:hAnsi="Times New Roman"/>
        </w:rPr>
      </w:pPr>
      <w:r>
        <w:rPr>
          <w:rFonts w:ascii="Times New Roman" w:hAnsi="Times New Roman"/>
        </w:rPr>
        <w:tab/>
        <w:t xml:space="preserve">Finally, while four professional development activities were included in this analysis –participation in a first-year teacher induction program, having a mentor, completing licensure coursework, and attending workshops – there are surely many more forms of professional development available to novice teachers.  These other activities warrant analysis of their effectiveness </w:t>
      </w:r>
      <w:r w:rsidR="003657BC">
        <w:rPr>
          <w:rFonts w:ascii="Times New Roman" w:hAnsi="Times New Roman"/>
        </w:rPr>
        <w:t xml:space="preserve">in improving teachers’ instruction.  </w:t>
      </w:r>
    </w:p>
    <w:p w:rsidR="003147F6" w:rsidRPr="003147F6" w:rsidRDefault="003147F6" w:rsidP="003147F6">
      <w:pPr>
        <w:spacing w:line="480" w:lineRule="auto"/>
        <w:jc w:val="center"/>
        <w:rPr>
          <w:rFonts w:ascii="Times New Roman" w:hAnsi="Times New Roman"/>
          <w:b/>
        </w:rPr>
      </w:pPr>
      <w:r w:rsidRPr="003147F6">
        <w:rPr>
          <w:rFonts w:ascii="Times New Roman" w:hAnsi="Times New Roman"/>
          <w:b/>
        </w:rPr>
        <w:t>Reflection</w:t>
      </w:r>
    </w:p>
    <w:p w:rsidR="0079602A" w:rsidRDefault="0079602A" w:rsidP="003147F6">
      <w:pPr>
        <w:spacing w:line="480" w:lineRule="auto"/>
        <w:rPr>
          <w:rFonts w:ascii="Times New Roman" w:hAnsi="Times New Roman"/>
        </w:rPr>
      </w:pPr>
      <w:r>
        <w:rPr>
          <w:rFonts w:ascii="Times New Roman" w:hAnsi="Times New Roman"/>
        </w:rPr>
        <w:tab/>
        <w:t>Conducting this research project has been a very beneficial experience</w:t>
      </w:r>
      <w:r w:rsidR="002C2D57">
        <w:rPr>
          <w:rFonts w:ascii="Times New Roman" w:hAnsi="Times New Roman"/>
        </w:rPr>
        <w:t xml:space="preserve">.  I am grateful that I have had the opportunity to practice </w:t>
      </w:r>
      <w:r>
        <w:rPr>
          <w:rFonts w:ascii="Times New Roman" w:hAnsi="Times New Roman"/>
        </w:rPr>
        <w:t xml:space="preserve">performing data analysis.  This was my first experience working with a large data set.  One of </w:t>
      </w:r>
      <w:r w:rsidR="002C2D57">
        <w:rPr>
          <w:rFonts w:ascii="Times New Roman" w:hAnsi="Times New Roman"/>
        </w:rPr>
        <w:t>my</w:t>
      </w:r>
      <w:r>
        <w:rPr>
          <w:rFonts w:ascii="Times New Roman" w:hAnsi="Times New Roman"/>
        </w:rPr>
        <w:t xml:space="preserve"> first challenges was simply understanding what was in the data set.  I had read the teacher survey and easily found the variables in SPSS that related to the questions.  However, I also discovered many, many additional, created variables in the SPSS data set.  The sheer number of variables was intimidating to me.  I had difficulty even finding some of the variables I was interested in.  After exploring the data set many times, I was finally able to understand that the created variables were very useful to me and would help with my data analysis.</w:t>
      </w:r>
    </w:p>
    <w:p w:rsidR="0079602A" w:rsidRDefault="0079602A" w:rsidP="003147F6">
      <w:pPr>
        <w:spacing w:line="480" w:lineRule="auto"/>
        <w:rPr>
          <w:rFonts w:ascii="Times New Roman" w:hAnsi="Times New Roman"/>
        </w:rPr>
      </w:pPr>
      <w:r>
        <w:rPr>
          <w:rFonts w:ascii="Times New Roman" w:hAnsi="Times New Roman"/>
        </w:rPr>
        <w:tab/>
        <w:t>I have to admit that I ran the multiple regression analysis many times.  There were so many details to keep in mind about multiple regression and the assumptions behind the analysis.  Every time I ran one and analyzed it, I realized that I had forgotten to add something or had used the wrong type of data.  While it was frustrating at times, I found that using the class Power Point slides and multiple regression homework as a guide really helped.  The step-by-step approach taught in class kept the analysis from becoming overwhelming or impossible.  I could just follow the steps.  I really appreciate Dr. Buehl’s highly organized approach to this class!</w:t>
      </w:r>
    </w:p>
    <w:p w:rsidR="0079602A" w:rsidRDefault="0079602A" w:rsidP="003147F6">
      <w:pPr>
        <w:spacing w:line="480" w:lineRule="auto"/>
        <w:rPr>
          <w:rFonts w:ascii="Times New Roman" w:hAnsi="Times New Roman"/>
        </w:rPr>
      </w:pPr>
      <w:r>
        <w:rPr>
          <w:rFonts w:ascii="Times New Roman" w:hAnsi="Times New Roman"/>
        </w:rPr>
        <w:tab/>
        <w:t xml:space="preserve">One of the most beneficial things about this project was that it helped me understand more clearly how data analysis is done.  Now, when I read and evaluate research done by others, I understand not just what the words say, but how the researchers made decisions about the analysis along the way that impact the meaningfulness of the results.  </w:t>
      </w:r>
      <w:r w:rsidR="0057564A">
        <w:rPr>
          <w:rFonts w:ascii="Times New Roman" w:hAnsi="Times New Roman"/>
        </w:rPr>
        <w:t>While I have had several classes that focused heavily on reading and interpreting quantitative research, this is the first time that I can truly say I understand what the analysis is telling me . . . . at least most of the time.</w:t>
      </w:r>
      <w:r>
        <w:rPr>
          <w:rFonts w:ascii="Times New Roman" w:hAnsi="Times New Roman"/>
        </w:rPr>
        <w:t xml:space="preserve"> </w:t>
      </w:r>
      <w:r>
        <w:rPr>
          <w:rFonts w:ascii="Times New Roman" w:hAnsi="Times New Roman"/>
        </w:rPr>
        <w:tab/>
      </w:r>
      <w:r w:rsidR="003147F6">
        <w:rPr>
          <w:rFonts w:ascii="Times New Roman" w:hAnsi="Times New Roman"/>
        </w:rPr>
        <w:tab/>
      </w:r>
    </w:p>
    <w:p w:rsidR="0079602A" w:rsidRDefault="0079602A" w:rsidP="003147F6">
      <w:pPr>
        <w:spacing w:line="480" w:lineRule="auto"/>
        <w:rPr>
          <w:rFonts w:ascii="Times New Roman" w:hAnsi="Times New Roman"/>
        </w:rPr>
      </w:pPr>
    </w:p>
    <w:p w:rsidR="003147F6" w:rsidRPr="003147F6" w:rsidRDefault="003147F6" w:rsidP="003147F6">
      <w:pPr>
        <w:spacing w:line="480" w:lineRule="auto"/>
        <w:rPr>
          <w:rFonts w:ascii="Times New Roman" w:hAnsi="Times New Roman"/>
        </w:rPr>
      </w:pPr>
    </w:p>
    <w:p w:rsidR="003147F6" w:rsidRPr="003147F6" w:rsidRDefault="003E21E9" w:rsidP="003147F6">
      <w:pPr>
        <w:spacing w:line="480" w:lineRule="auto"/>
        <w:jc w:val="center"/>
        <w:rPr>
          <w:rFonts w:ascii="Times New Roman" w:hAnsi="Times New Roman"/>
          <w:b/>
        </w:rPr>
      </w:pPr>
      <w:r>
        <w:rPr>
          <w:rFonts w:ascii="Times New Roman" w:hAnsi="Times New Roman"/>
          <w:b/>
        </w:rPr>
        <w:br w:type="page"/>
      </w:r>
      <w:r w:rsidR="003147F6" w:rsidRPr="003147F6">
        <w:rPr>
          <w:rFonts w:ascii="Times New Roman" w:hAnsi="Times New Roman"/>
          <w:b/>
        </w:rPr>
        <w:t>References</w:t>
      </w:r>
    </w:p>
    <w:p w:rsidR="00543936" w:rsidRDefault="0096773F" w:rsidP="002F707F">
      <w:pPr>
        <w:spacing w:line="480" w:lineRule="auto"/>
        <w:ind w:left="720" w:hanging="720"/>
        <w:rPr>
          <w:rFonts w:ascii="Times New Roman" w:hAnsi="Times New Roman" w:cs="Arial Unicode MS"/>
          <w:color w:val="000000"/>
        </w:rPr>
      </w:pPr>
      <w:r>
        <w:rPr>
          <w:rFonts w:ascii="Times New Roman" w:hAnsi="Times New Roman" w:cs="Arial Unicode MS"/>
          <w:color w:val="000000"/>
        </w:rPr>
        <w:t xml:space="preserve">Brownell, M., Bishop, A., &amp; Gersten, R. </w:t>
      </w:r>
      <w:r w:rsidR="00543936">
        <w:rPr>
          <w:rFonts w:ascii="Times New Roman" w:hAnsi="Times New Roman" w:cs="Arial Unicode MS"/>
          <w:color w:val="000000"/>
        </w:rPr>
        <w:t>(2009)</w:t>
      </w:r>
      <w:r>
        <w:rPr>
          <w:rFonts w:ascii="Times New Roman" w:hAnsi="Times New Roman" w:cs="Arial Unicode MS"/>
          <w:color w:val="000000"/>
        </w:rPr>
        <w:t>. The role of domain expertise in beginning special education teacher quality.</w:t>
      </w:r>
      <w:r w:rsidR="00543936">
        <w:rPr>
          <w:rFonts w:ascii="Times New Roman" w:hAnsi="Times New Roman" w:cs="Arial Unicode MS"/>
          <w:color w:val="000000"/>
        </w:rPr>
        <w:t xml:space="preserve"> </w:t>
      </w:r>
      <w:r w:rsidR="00543936" w:rsidRPr="0096773F">
        <w:rPr>
          <w:rFonts w:ascii="Times New Roman" w:hAnsi="Times New Roman" w:cs="Arial Unicode MS"/>
          <w:i/>
          <w:color w:val="000000"/>
        </w:rPr>
        <w:t>Exceptional Children</w:t>
      </w:r>
      <w:r w:rsidRPr="0096773F">
        <w:rPr>
          <w:rFonts w:ascii="Times New Roman" w:hAnsi="Times New Roman" w:cs="Arial Unicode MS"/>
          <w:i/>
          <w:color w:val="000000"/>
        </w:rPr>
        <w:t>, 75</w:t>
      </w:r>
      <w:r>
        <w:rPr>
          <w:rFonts w:ascii="Times New Roman" w:hAnsi="Times New Roman" w:cs="Arial Unicode MS"/>
          <w:color w:val="000000"/>
        </w:rPr>
        <w:t>, 391-411.</w:t>
      </w:r>
    </w:p>
    <w:p w:rsidR="0062625B" w:rsidRDefault="002F707F" w:rsidP="002F707F">
      <w:pPr>
        <w:spacing w:line="480" w:lineRule="auto"/>
        <w:ind w:left="720" w:hanging="720"/>
        <w:rPr>
          <w:rFonts w:ascii="Times New Roman" w:hAnsi="Times New Roman" w:cs="Arial Unicode MS"/>
          <w:color w:val="000000"/>
        </w:rPr>
      </w:pPr>
      <w:r>
        <w:rPr>
          <w:rFonts w:ascii="Times New Roman" w:hAnsi="Times New Roman" w:cs="Arial Unicode MS"/>
          <w:color w:val="000000"/>
        </w:rPr>
        <w:t xml:space="preserve">Brownell, M., Ross, D., Colon, E., &amp; McCallum, C. (2005). Critical features of special education teacher preparation: A comparison with general teacher education. </w:t>
      </w:r>
      <w:r w:rsidRPr="002F707F">
        <w:rPr>
          <w:rFonts w:ascii="Times New Roman" w:hAnsi="Times New Roman" w:cs="Arial Unicode MS"/>
          <w:i/>
          <w:color w:val="000000"/>
        </w:rPr>
        <w:t>Journal of Special Education, 28</w:t>
      </w:r>
      <w:r>
        <w:rPr>
          <w:rFonts w:ascii="Times New Roman" w:hAnsi="Times New Roman" w:cs="Arial Unicode MS"/>
          <w:color w:val="000000"/>
        </w:rPr>
        <w:t>, 242-252.</w:t>
      </w:r>
      <w:r w:rsidR="009B229C">
        <w:rPr>
          <w:rFonts w:ascii="Times New Roman" w:hAnsi="Times New Roman" w:cs="Arial Unicode MS"/>
          <w:color w:val="000000"/>
        </w:rPr>
        <w:t xml:space="preserve"> </w:t>
      </w:r>
    </w:p>
    <w:p w:rsidR="002672CF" w:rsidRPr="00997FA0" w:rsidRDefault="002672CF" w:rsidP="002672CF">
      <w:pPr>
        <w:spacing w:line="480" w:lineRule="auto"/>
        <w:ind w:left="720" w:hanging="720"/>
        <w:rPr>
          <w:color w:val="000000"/>
        </w:rPr>
      </w:pPr>
      <w:r w:rsidRPr="00997FA0">
        <w:rPr>
          <w:color w:val="000000"/>
        </w:rPr>
        <w:t>No Child Left Behind Act of 2001, PL 107-110</w:t>
      </w:r>
      <w:r>
        <w:rPr>
          <w:color w:val="000000"/>
        </w:rPr>
        <w:t>.</w:t>
      </w:r>
      <w:r w:rsidRPr="00997FA0">
        <w:rPr>
          <w:color w:val="000000"/>
        </w:rPr>
        <w:t xml:space="preserve"> (2002).</w:t>
      </w:r>
    </w:p>
    <w:p w:rsidR="001D3A32" w:rsidRDefault="001D3A32" w:rsidP="002F707F">
      <w:pPr>
        <w:spacing w:line="480" w:lineRule="auto"/>
        <w:ind w:left="720" w:hanging="720"/>
        <w:rPr>
          <w:rFonts w:ascii="Times New Roman" w:hAnsi="Times New Roman" w:cs="Arial Unicode MS"/>
          <w:color w:val="000000"/>
        </w:rPr>
      </w:pPr>
      <w:r>
        <w:rPr>
          <w:rFonts w:ascii="Times New Roman" w:hAnsi="Times New Roman" w:cs="Arial Unicode MS"/>
          <w:color w:val="000000"/>
        </w:rPr>
        <w:t xml:space="preserve">Nougaret, A., Scruggs, T., &amp; Mastropieri, M. (2005). Does teacher education produce better special education teachers? </w:t>
      </w:r>
      <w:r w:rsidRPr="001D3A32">
        <w:rPr>
          <w:rFonts w:ascii="Times New Roman" w:hAnsi="Times New Roman" w:cs="Arial Unicode MS"/>
          <w:i/>
          <w:color w:val="000000"/>
        </w:rPr>
        <w:t>Exceptional Children, 71</w:t>
      </w:r>
      <w:r>
        <w:rPr>
          <w:rFonts w:ascii="Times New Roman" w:hAnsi="Times New Roman" w:cs="Arial Unicode MS"/>
          <w:color w:val="000000"/>
        </w:rPr>
        <w:t>, 217-229.</w:t>
      </w:r>
    </w:p>
    <w:p w:rsidR="002F707F" w:rsidRDefault="009B229C" w:rsidP="002F707F">
      <w:pPr>
        <w:spacing w:line="480" w:lineRule="auto"/>
        <w:ind w:left="720" w:hanging="720"/>
        <w:rPr>
          <w:rFonts w:ascii="Times New Roman" w:hAnsi="Times New Roman" w:cs="Arial Unicode MS"/>
          <w:color w:val="000000"/>
        </w:rPr>
      </w:pPr>
      <w:r>
        <w:rPr>
          <w:rFonts w:ascii="Times New Roman" w:hAnsi="Times New Roman" w:cs="Arial Unicode MS"/>
          <w:color w:val="000000"/>
        </w:rPr>
        <w:t xml:space="preserve">Seo, S., Brownell, M., Bishop, A., &amp; Dingle, M. (2008). Beginning special education teachers’ classroom reading instruction: Practices that engage elementary student with learning disabilities. </w:t>
      </w:r>
      <w:r w:rsidRPr="009B229C">
        <w:rPr>
          <w:rFonts w:ascii="Times New Roman" w:hAnsi="Times New Roman" w:cs="Arial Unicode MS"/>
          <w:i/>
          <w:color w:val="000000"/>
        </w:rPr>
        <w:t>Exceptional Children, 75</w:t>
      </w:r>
      <w:r>
        <w:rPr>
          <w:rFonts w:ascii="Times New Roman" w:hAnsi="Times New Roman" w:cs="Arial Unicode MS"/>
          <w:color w:val="000000"/>
        </w:rPr>
        <w:t>, 97-122.</w:t>
      </w:r>
    </w:p>
    <w:p w:rsidR="003E21E9" w:rsidRPr="003217CB" w:rsidRDefault="003217CB" w:rsidP="003217CB">
      <w:pPr>
        <w:spacing w:line="480" w:lineRule="auto"/>
        <w:ind w:left="720" w:hanging="720"/>
        <w:rPr>
          <w:rFonts w:ascii="Times New Roman" w:hAnsi="Times New Roman" w:cs="Helvetica"/>
          <w:i/>
          <w:iCs/>
          <w:color w:val="000000"/>
          <w:szCs w:val="36"/>
        </w:rPr>
      </w:pPr>
      <w:r w:rsidRPr="003217CB">
        <w:rPr>
          <w:rFonts w:ascii="Times New Roman" w:hAnsi="Times New Roman" w:cs="Arial Unicode MS"/>
          <w:color w:val="000000"/>
        </w:rPr>
        <w:t xml:space="preserve">U.S. Dept. of Education, National Center for Education Statistics. </w:t>
      </w:r>
      <w:r w:rsidR="002672CF">
        <w:rPr>
          <w:rFonts w:ascii="Times New Roman" w:hAnsi="Times New Roman" w:cs="Arial Unicode MS"/>
          <w:color w:val="000000"/>
        </w:rPr>
        <w:t xml:space="preserve">(2000). Schools and staffing survey, 1999-2000 [Data file, code book, and users guide]. </w:t>
      </w:r>
      <w:r w:rsidRPr="003217CB">
        <w:rPr>
          <w:rFonts w:ascii="Times New Roman" w:hAnsi="Times New Roman" w:cs="Arial Unicode MS"/>
          <w:color w:val="000000"/>
        </w:rPr>
        <w:t>Ann Arbor, MI: Inter-university Consortium for Political and Social Research [distributor], 2005-05-23. doi:10.3886/ICPSR04133</w:t>
      </w:r>
    </w:p>
    <w:p w:rsidR="003E21E9" w:rsidRDefault="003E21E9" w:rsidP="00886801">
      <w:pPr>
        <w:spacing w:line="480" w:lineRule="auto"/>
        <w:rPr>
          <w:rFonts w:ascii="Times New Roman" w:hAnsi="Times New Roman" w:cs="Helvetica"/>
          <w:i/>
          <w:iCs/>
          <w:color w:val="000000"/>
          <w:szCs w:val="36"/>
        </w:rPr>
      </w:pPr>
    </w:p>
    <w:p w:rsidR="003E21E9" w:rsidRDefault="003E21E9" w:rsidP="00886801">
      <w:pPr>
        <w:spacing w:line="480" w:lineRule="auto"/>
        <w:rPr>
          <w:rFonts w:ascii="Times New Roman" w:hAnsi="Times New Roman" w:cs="Helvetica"/>
          <w:i/>
          <w:iCs/>
          <w:color w:val="000000"/>
          <w:szCs w:val="36"/>
        </w:rPr>
      </w:pPr>
    </w:p>
    <w:p w:rsidR="003E21E9" w:rsidRDefault="003E21E9" w:rsidP="00886801">
      <w:pPr>
        <w:spacing w:line="480" w:lineRule="auto"/>
        <w:rPr>
          <w:rFonts w:ascii="Times New Roman" w:hAnsi="Times New Roman" w:cs="Helvetica"/>
          <w:i/>
          <w:iCs/>
          <w:color w:val="000000"/>
          <w:szCs w:val="36"/>
        </w:rPr>
      </w:pPr>
    </w:p>
    <w:p w:rsidR="003E21E9" w:rsidRDefault="003E21E9" w:rsidP="00886801">
      <w:pPr>
        <w:spacing w:line="480" w:lineRule="auto"/>
        <w:rPr>
          <w:rFonts w:ascii="Times New Roman" w:hAnsi="Times New Roman" w:cs="Helvetica"/>
          <w:i/>
          <w:iCs/>
          <w:color w:val="000000"/>
          <w:szCs w:val="36"/>
        </w:rPr>
      </w:pPr>
    </w:p>
    <w:p w:rsidR="000D5F78" w:rsidRDefault="000D5F78" w:rsidP="000D5F78">
      <w:pPr>
        <w:spacing w:line="480" w:lineRule="auto"/>
        <w:jc w:val="center"/>
        <w:rPr>
          <w:rFonts w:ascii="Times New Roman" w:hAnsi="Times New Roman" w:cs="Helvetica"/>
          <w:b/>
          <w:iCs/>
          <w:color w:val="000000"/>
          <w:szCs w:val="36"/>
        </w:rPr>
      </w:pPr>
    </w:p>
    <w:p w:rsidR="005438F1" w:rsidRDefault="00781A98" w:rsidP="000D5F78">
      <w:pPr>
        <w:spacing w:line="480" w:lineRule="auto"/>
        <w:rPr>
          <w:rFonts w:ascii="Times New Roman" w:hAnsi="Times New Roman" w:cs="Helvetica"/>
          <w:iCs/>
          <w:color w:val="000000"/>
          <w:szCs w:val="36"/>
        </w:rPr>
      </w:pPr>
      <w:r>
        <w:rPr>
          <w:rFonts w:ascii="Times New Roman" w:hAnsi="Times New Roman" w:cs="Helvetica"/>
          <w:iCs/>
          <w:color w:val="000000"/>
          <w:szCs w:val="36"/>
        </w:rPr>
        <w:br w:type="page"/>
      </w:r>
      <w:r w:rsidR="002D6226">
        <w:rPr>
          <w:rFonts w:ascii="Times New Roman" w:hAnsi="Times New Roman" w:cs="Helvetica"/>
          <w:iCs/>
          <w:color w:val="000000"/>
          <w:szCs w:val="36"/>
        </w:rPr>
        <w:t>Table 1</w:t>
      </w:r>
    </w:p>
    <w:p w:rsidR="005438F1" w:rsidRPr="005438F1" w:rsidRDefault="005438F1" w:rsidP="000D5F78">
      <w:pPr>
        <w:spacing w:line="480" w:lineRule="auto"/>
        <w:rPr>
          <w:rFonts w:ascii="Times New Roman" w:hAnsi="Times New Roman" w:cs="Helvetica"/>
          <w:i/>
          <w:iCs/>
          <w:color w:val="000000"/>
          <w:szCs w:val="36"/>
        </w:rPr>
      </w:pPr>
      <w:r w:rsidRPr="005438F1">
        <w:rPr>
          <w:rFonts w:ascii="Times New Roman" w:hAnsi="Times New Roman" w:cs="Helvetica"/>
          <w:i/>
          <w:iCs/>
          <w:color w:val="000000"/>
          <w:szCs w:val="36"/>
        </w:rPr>
        <w:t>Sample Characteristics</w:t>
      </w:r>
    </w:p>
    <w:p w:rsidR="005438F1" w:rsidRDefault="00555FE5" w:rsidP="0070039B">
      <w:pPr>
        <w:pBdr>
          <w:top w:val="single" w:sz="4" w:space="1" w:color="auto"/>
        </w:pBdr>
        <w:spacing w:line="480" w:lineRule="auto"/>
        <w:rPr>
          <w:rFonts w:ascii="Times New Roman" w:hAnsi="Times New Roman" w:cs="Helvetica"/>
          <w:iCs/>
          <w:color w:val="000000"/>
          <w:szCs w:val="36"/>
        </w:rPr>
      </w:pPr>
      <w:r>
        <w:rPr>
          <w:rFonts w:ascii="Times New Roman" w:hAnsi="Times New Roman" w:cs="Helvetica"/>
          <w:iCs/>
          <w:color w:val="000000"/>
          <w:szCs w:val="36"/>
        </w:rPr>
        <w:tab/>
      </w:r>
      <w:r>
        <w:rPr>
          <w:rFonts w:ascii="Times New Roman" w:hAnsi="Times New Roman" w:cs="Helvetica"/>
          <w:iCs/>
          <w:color w:val="000000"/>
          <w:szCs w:val="36"/>
        </w:rPr>
        <w:tab/>
      </w:r>
      <w:r>
        <w:rPr>
          <w:rFonts w:ascii="Times New Roman" w:hAnsi="Times New Roman" w:cs="Helvetica"/>
          <w:iCs/>
          <w:color w:val="000000"/>
          <w:szCs w:val="36"/>
        </w:rPr>
        <w:tab/>
        <w:t>Traditional</w:t>
      </w:r>
      <w:r>
        <w:rPr>
          <w:rFonts w:ascii="Times New Roman" w:hAnsi="Times New Roman" w:cs="Helvetica"/>
          <w:iCs/>
          <w:color w:val="000000"/>
          <w:szCs w:val="36"/>
        </w:rPr>
        <w:tab/>
      </w:r>
      <w:r>
        <w:rPr>
          <w:rFonts w:ascii="Times New Roman" w:hAnsi="Times New Roman" w:cs="Helvetica"/>
          <w:iCs/>
          <w:color w:val="000000"/>
          <w:szCs w:val="36"/>
        </w:rPr>
        <w:tab/>
      </w:r>
      <w:r w:rsidR="005438F1">
        <w:rPr>
          <w:rFonts w:ascii="Times New Roman" w:hAnsi="Times New Roman" w:cs="Helvetica"/>
          <w:iCs/>
          <w:color w:val="000000"/>
          <w:szCs w:val="36"/>
        </w:rPr>
        <w:t>Provisional</w:t>
      </w:r>
      <w:r w:rsidR="005438F1">
        <w:rPr>
          <w:rFonts w:ascii="Times New Roman" w:hAnsi="Times New Roman" w:cs="Helvetica"/>
          <w:iCs/>
          <w:color w:val="000000"/>
          <w:szCs w:val="36"/>
        </w:rPr>
        <w:tab/>
      </w:r>
      <w:r w:rsidR="005438F1">
        <w:rPr>
          <w:rFonts w:ascii="Times New Roman" w:hAnsi="Times New Roman" w:cs="Helvetica"/>
          <w:iCs/>
          <w:color w:val="000000"/>
          <w:szCs w:val="36"/>
        </w:rPr>
        <w:tab/>
        <w:t>Emergency</w:t>
      </w:r>
      <w:r>
        <w:rPr>
          <w:rFonts w:ascii="Times New Roman" w:hAnsi="Times New Roman" w:cs="Helvetica"/>
          <w:iCs/>
          <w:color w:val="000000"/>
          <w:szCs w:val="36"/>
        </w:rPr>
        <w:tab/>
      </w:r>
    </w:p>
    <w:p w:rsidR="005438F1" w:rsidRDefault="00555FE5" w:rsidP="0070039B">
      <w:pPr>
        <w:pBdr>
          <w:bottom w:val="single" w:sz="4" w:space="1" w:color="auto"/>
        </w:pBdr>
        <w:spacing w:line="480" w:lineRule="auto"/>
        <w:rPr>
          <w:rFonts w:ascii="Times New Roman" w:hAnsi="Times New Roman" w:cs="Helvetica"/>
          <w:iCs/>
          <w:color w:val="000000"/>
          <w:szCs w:val="36"/>
        </w:rPr>
      </w:pPr>
      <w:r>
        <w:rPr>
          <w:rFonts w:ascii="Times New Roman" w:hAnsi="Times New Roman" w:cs="Helvetica"/>
          <w:iCs/>
          <w:color w:val="000000"/>
          <w:szCs w:val="36"/>
        </w:rPr>
        <w:tab/>
      </w:r>
      <w:r w:rsidR="005438F1">
        <w:rPr>
          <w:rFonts w:ascii="Times New Roman" w:hAnsi="Times New Roman" w:cs="Helvetica"/>
          <w:iCs/>
          <w:color w:val="000000"/>
          <w:szCs w:val="36"/>
        </w:rPr>
        <w:tab/>
      </w:r>
      <w:r w:rsidR="005438F1">
        <w:rPr>
          <w:rFonts w:ascii="Times New Roman" w:hAnsi="Times New Roman" w:cs="Helvetica"/>
          <w:iCs/>
          <w:color w:val="000000"/>
          <w:szCs w:val="36"/>
        </w:rPr>
        <w:tab/>
        <w:t>Certification</w:t>
      </w:r>
      <w:r w:rsidR="005438F1">
        <w:rPr>
          <w:rFonts w:ascii="Times New Roman" w:hAnsi="Times New Roman" w:cs="Helvetica"/>
          <w:iCs/>
          <w:color w:val="000000"/>
          <w:szCs w:val="36"/>
        </w:rPr>
        <w:tab/>
      </w:r>
      <w:r w:rsidR="005438F1">
        <w:rPr>
          <w:rFonts w:ascii="Times New Roman" w:hAnsi="Times New Roman" w:cs="Helvetica"/>
          <w:iCs/>
          <w:color w:val="000000"/>
          <w:szCs w:val="36"/>
        </w:rPr>
        <w:tab/>
        <w:t>Certification</w:t>
      </w:r>
      <w:r w:rsidR="005438F1">
        <w:rPr>
          <w:rFonts w:ascii="Times New Roman" w:hAnsi="Times New Roman" w:cs="Helvetica"/>
          <w:iCs/>
          <w:color w:val="000000"/>
          <w:szCs w:val="36"/>
        </w:rPr>
        <w:tab/>
      </w:r>
      <w:r w:rsidR="005438F1">
        <w:rPr>
          <w:rFonts w:ascii="Times New Roman" w:hAnsi="Times New Roman" w:cs="Helvetica"/>
          <w:iCs/>
          <w:color w:val="000000"/>
          <w:szCs w:val="36"/>
        </w:rPr>
        <w:tab/>
        <w:t>Certification</w:t>
      </w:r>
      <w:r w:rsidR="0070039B">
        <w:rPr>
          <w:rFonts w:ascii="Times New Roman" w:hAnsi="Times New Roman" w:cs="Helvetica"/>
          <w:iCs/>
          <w:color w:val="000000"/>
          <w:szCs w:val="36"/>
        </w:rPr>
        <w:tab/>
        <w:t>Total</w:t>
      </w:r>
    </w:p>
    <w:p w:rsidR="005438F1" w:rsidRDefault="005438F1" w:rsidP="000D5F78">
      <w:pPr>
        <w:spacing w:line="480" w:lineRule="auto"/>
        <w:rPr>
          <w:rFonts w:ascii="Times New Roman" w:hAnsi="Times New Roman" w:cs="Helvetica"/>
          <w:iCs/>
          <w:color w:val="000000"/>
          <w:szCs w:val="36"/>
        </w:rPr>
      </w:pPr>
      <w:r>
        <w:rPr>
          <w:rFonts w:ascii="Times New Roman" w:hAnsi="Times New Roman" w:cs="Helvetica"/>
          <w:iCs/>
          <w:color w:val="000000"/>
          <w:szCs w:val="36"/>
        </w:rPr>
        <w:t>Gender</w:t>
      </w:r>
    </w:p>
    <w:p w:rsidR="005438F1" w:rsidRDefault="00555FE5" w:rsidP="000D5F78">
      <w:pPr>
        <w:spacing w:line="480" w:lineRule="auto"/>
        <w:rPr>
          <w:rFonts w:ascii="Times New Roman" w:hAnsi="Times New Roman" w:cs="Helvetica"/>
          <w:iCs/>
          <w:color w:val="000000"/>
          <w:szCs w:val="36"/>
        </w:rPr>
      </w:pPr>
      <w:r>
        <w:rPr>
          <w:rFonts w:ascii="Times New Roman" w:hAnsi="Times New Roman" w:cs="Helvetica"/>
          <w:iCs/>
          <w:color w:val="000000"/>
          <w:szCs w:val="36"/>
        </w:rPr>
        <w:t xml:space="preserve">   Female</w:t>
      </w:r>
      <w:r>
        <w:rPr>
          <w:rFonts w:ascii="Times New Roman" w:hAnsi="Times New Roman" w:cs="Helvetica"/>
          <w:iCs/>
          <w:color w:val="000000"/>
          <w:szCs w:val="36"/>
        </w:rPr>
        <w:tab/>
      </w:r>
      <w:r w:rsidR="005438F1">
        <w:rPr>
          <w:rFonts w:ascii="Times New Roman" w:hAnsi="Times New Roman" w:cs="Helvetica"/>
          <w:iCs/>
          <w:color w:val="000000"/>
          <w:szCs w:val="36"/>
        </w:rPr>
        <w:tab/>
        <w:t>381</w:t>
      </w:r>
      <w:r w:rsidR="00176D5F">
        <w:rPr>
          <w:rFonts w:ascii="Times New Roman" w:hAnsi="Times New Roman" w:cs="Helvetica"/>
          <w:iCs/>
          <w:color w:val="000000"/>
          <w:szCs w:val="36"/>
        </w:rPr>
        <w:t xml:space="preserve"> (63.4%)</w:t>
      </w:r>
      <w:r w:rsidR="00176D5F">
        <w:rPr>
          <w:rFonts w:ascii="Times New Roman" w:hAnsi="Times New Roman" w:cs="Helvetica"/>
          <w:iCs/>
          <w:color w:val="000000"/>
          <w:szCs w:val="36"/>
        </w:rPr>
        <w:tab/>
      </w:r>
      <w:r w:rsidR="005438F1">
        <w:rPr>
          <w:rFonts w:ascii="Times New Roman" w:hAnsi="Times New Roman" w:cs="Helvetica"/>
          <w:iCs/>
          <w:color w:val="000000"/>
          <w:szCs w:val="36"/>
        </w:rPr>
        <w:tab/>
        <w:t>102</w:t>
      </w:r>
      <w:r w:rsidR="00176D5F">
        <w:rPr>
          <w:rFonts w:ascii="Times New Roman" w:hAnsi="Times New Roman" w:cs="Helvetica"/>
          <w:iCs/>
          <w:color w:val="000000"/>
          <w:szCs w:val="36"/>
        </w:rPr>
        <w:t xml:space="preserve"> (17.0%)</w:t>
      </w:r>
      <w:r w:rsidR="00176D5F">
        <w:rPr>
          <w:rFonts w:ascii="Times New Roman" w:hAnsi="Times New Roman" w:cs="Helvetica"/>
          <w:iCs/>
          <w:color w:val="000000"/>
          <w:szCs w:val="36"/>
        </w:rPr>
        <w:tab/>
      </w:r>
      <w:r w:rsidR="005438F1">
        <w:rPr>
          <w:rFonts w:ascii="Times New Roman" w:hAnsi="Times New Roman" w:cs="Helvetica"/>
          <w:iCs/>
          <w:color w:val="000000"/>
          <w:szCs w:val="36"/>
        </w:rPr>
        <w:tab/>
        <w:t>13</w:t>
      </w:r>
      <w:r w:rsidR="00176D5F">
        <w:rPr>
          <w:rFonts w:ascii="Times New Roman" w:hAnsi="Times New Roman" w:cs="Helvetica"/>
          <w:iCs/>
          <w:color w:val="000000"/>
          <w:szCs w:val="36"/>
        </w:rPr>
        <w:t xml:space="preserve"> (2.2%)</w:t>
      </w:r>
      <w:r>
        <w:rPr>
          <w:rFonts w:ascii="Times New Roman" w:hAnsi="Times New Roman" w:cs="Helvetica"/>
          <w:iCs/>
          <w:color w:val="000000"/>
          <w:szCs w:val="36"/>
        </w:rPr>
        <w:tab/>
        <w:t>496 (82.5%)</w:t>
      </w:r>
    </w:p>
    <w:p w:rsidR="005438F1" w:rsidRDefault="00555FE5" w:rsidP="000D5F78">
      <w:pPr>
        <w:spacing w:line="480" w:lineRule="auto"/>
        <w:rPr>
          <w:rFonts w:ascii="Times New Roman" w:hAnsi="Times New Roman" w:cs="Helvetica"/>
          <w:iCs/>
          <w:color w:val="000000"/>
          <w:szCs w:val="36"/>
        </w:rPr>
      </w:pPr>
      <w:r>
        <w:rPr>
          <w:rFonts w:ascii="Times New Roman" w:hAnsi="Times New Roman" w:cs="Helvetica"/>
          <w:iCs/>
          <w:color w:val="000000"/>
          <w:szCs w:val="36"/>
        </w:rPr>
        <w:t xml:space="preserve">   Male</w:t>
      </w:r>
      <w:r>
        <w:rPr>
          <w:rFonts w:ascii="Times New Roman" w:hAnsi="Times New Roman" w:cs="Helvetica"/>
          <w:iCs/>
          <w:color w:val="000000"/>
          <w:szCs w:val="36"/>
        </w:rPr>
        <w:tab/>
      </w:r>
      <w:r>
        <w:rPr>
          <w:rFonts w:ascii="Times New Roman" w:hAnsi="Times New Roman" w:cs="Helvetica"/>
          <w:iCs/>
          <w:color w:val="000000"/>
          <w:szCs w:val="36"/>
        </w:rPr>
        <w:tab/>
      </w:r>
      <w:r>
        <w:rPr>
          <w:rFonts w:ascii="Times New Roman" w:hAnsi="Times New Roman" w:cs="Helvetica"/>
          <w:iCs/>
          <w:color w:val="000000"/>
          <w:szCs w:val="36"/>
        </w:rPr>
        <w:tab/>
      </w:r>
      <w:r w:rsidR="005438F1">
        <w:rPr>
          <w:rFonts w:ascii="Times New Roman" w:hAnsi="Times New Roman" w:cs="Helvetica"/>
          <w:iCs/>
          <w:color w:val="000000"/>
          <w:szCs w:val="36"/>
        </w:rPr>
        <w:t>75</w:t>
      </w:r>
      <w:r w:rsidR="00176D5F">
        <w:rPr>
          <w:rFonts w:ascii="Times New Roman" w:hAnsi="Times New Roman" w:cs="Helvetica"/>
          <w:iCs/>
          <w:color w:val="000000"/>
          <w:szCs w:val="36"/>
        </w:rPr>
        <w:t xml:space="preserve"> (12.5%)</w:t>
      </w:r>
      <w:r w:rsidR="00176D5F">
        <w:rPr>
          <w:rFonts w:ascii="Times New Roman" w:hAnsi="Times New Roman" w:cs="Helvetica"/>
          <w:iCs/>
          <w:color w:val="000000"/>
          <w:szCs w:val="36"/>
        </w:rPr>
        <w:tab/>
      </w:r>
      <w:r w:rsidR="005438F1">
        <w:rPr>
          <w:rFonts w:ascii="Times New Roman" w:hAnsi="Times New Roman" w:cs="Helvetica"/>
          <w:iCs/>
          <w:color w:val="000000"/>
          <w:szCs w:val="36"/>
        </w:rPr>
        <w:tab/>
        <w:t>26</w:t>
      </w:r>
      <w:r w:rsidR="00176D5F">
        <w:rPr>
          <w:rFonts w:ascii="Times New Roman" w:hAnsi="Times New Roman" w:cs="Helvetica"/>
          <w:iCs/>
          <w:color w:val="000000"/>
          <w:szCs w:val="36"/>
        </w:rPr>
        <w:t xml:space="preserve"> (4.3%)</w:t>
      </w:r>
      <w:r w:rsidR="00176D5F">
        <w:rPr>
          <w:rFonts w:ascii="Times New Roman" w:hAnsi="Times New Roman" w:cs="Helvetica"/>
          <w:iCs/>
          <w:color w:val="000000"/>
          <w:szCs w:val="36"/>
        </w:rPr>
        <w:tab/>
      </w:r>
      <w:r w:rsidR="005438F1">
        <w:rPr>
          <w:rFonts w:ascii="Times New Roman" w:hAnsi="Times New Roman" w:cs="Helvetica"/>
          <w:iCs/>
          <w:color w:val="000000"/>
          <w:szCs w:val="36"/>
        </w:rPr>
        <w:tab/>
        <w:t>4</w:t>
      </w:r>
      <w:r w:rsidR="00176D5F">
        <w:rPr>
          <w:rFonts w:ascii="Times New Roman" w:hAnsi="Times New Roman" w:cs="Helvetica"/>
          <w:iCs/>
          <w:color w:val="000000"/>
          <w:szCs w:val="36"/>
        </w:rPr>
        <w:t xml:space="preserve"> (.7%)</w:t>
      </w:r>
      <w:r>
        <w:rPr>
          <w:rFonts w:ascii="Times New Roman" w:hAnsi="Times New Roman" w:cs="Helvetica"/>
          <w:iCs/>
          <w:color w:val="000000"/>
          <w:szCs w:val="36"/>
        </w:rPr>
        <w:tab/>
      </w:r>
      <w:r>
        <w:rPr>
          <w:rFonts w:ascii="Times New Roman" w:hAnsi="Times New Roman" w:cs="Helvetica"/>
          <w:iCs/>
          <w:color w:val="000000"/>
          <w:szCs w:val="36"/>
        </w:rPr>
        <w:tab/>
        <w:t>105 (17.5%)</w:t>
      </w:r>
    </w:p>
    <w:p w:rsidR="005438F1" w:rsidRDefault="005438F1" w:rsidP="000D5F78">
      <w:pPr>
        <w:spacing w:line="480" w:lineRule="auto"/>
        <w:rPr>
          <w:rFonts w:ascii="Times New Roman" w:hAnsi="Times New Roman" w:cs="Helvetica"/>
          <w:iCs/>
          <w:color w:val="000000"/>
          <w:szCs w:val="36"/>
        </w:rPr>
      </w:pPr>
      <w:r>
        <w:rPr>
          <w:rFonts w:ascii="Times New Roman" w:hAnsi="Times New Roman" w:cs="Helvetica"/>
          <w:iCs/>
          <w:color w:val="000000"/>
          <w:szCs w:val="36"/>
        </w:rPr>
        <w:t>Age</w:t>
      </w:r>
    </w:p>
    <w:p w:rsidR="005438F1" w:rsidRDefault="00555FE5" w:rsidP="000D5F78">
      <w:pPr>
        <w:spacing w:line="480" w:lineRule="auto"/>
        <w:rPr>
          <w:rFonts w:ascii="Times New Roman" w:hAnsi="Times New Roman" w:cs="Helvetica"/>
          <w:iCs/>
          <w:color w:val="000000"/>
          <w:szCs w:val="36"/>
        </w:rPr>
      </w:pPr>
      <w:r>
        <w:rPr>
          <w:rFonts w:ascii="Times New Roman" w:hAnsi="Times New Roman" w:cs="Helvetica"/>
          <w:iCs/>
          <w:color w:val="000000"/>
          <w:szCs w:val="36"/>
        </w:rPr>
        <w:t xml:space="preserve">   </w:t>
      </w:r>
      <w:r w:rsidR="005438F1">
        <w:rPr>
          <w:rFonts w:ascii="Times New Roman" w:hAnsi="Times New Roman" w:cs="Helvetica"/>
          <w:iCs/>
          <w:color w:val="000000"/>
          <w:szCs w:val="36"/>
        </w:rPr>
        <w:t>&lt;30</w:t>
      </w:r>
      <w:r>
        <w:rPr>
          <w:rFonts w:ascii="Times New Roman" w:hAnsi="Times New Roman" w:cs="Helvetica"/>
          <w:iCs/>
          <w:color w:val="000000"/>
          <w:szCs w:val="36"/>
        </w:rPr>
        <w:tab/>
      </w:r>
      <w:r>
        <w:rPr>
          <w:rFonts w:ascii="Times New Roman" w:hAnsi="Times New Roman" w:cs="Helvetica"/>
          <w:iCs/>
          <w:color w:val="000000"/>
          <w:szCs w:val="36"/>
        </w:rPr>
        <w:tab/>
      </w:r>
      <w:r w:rsidR="005448FF">
        <w:rPr>
          <w:rFonts w:ascii="Times New Roman" w:hAnsi="Times New Roman" w:cs="Helvetica"/>
          <w:iCs/>
          <w:color w:val="000000"/>
          <w:szCs w:val="36"/>
        </w:rPr>
        <w:tab/>
        <w:t>261</w:t>
      </w:r>
      <w:r w:rsidR="00176D5F">
        <w:rPr>
          <w:rFonts w:ascii="Times New Roman" w:hAnsi="Times New Roman" w:cs="Helvetica"/>
          <w:iCs/>
          <w:color w:val="000000"/>
          <w:szCs w:val="36"/>
        </w:rPr>
        <w:t xml:space="preserve"> (43.4%)</w:t>
      </w:r>
      <w:r w:rsidR="00176D5F">
        <w:rPr>
          <w:rFonts w:ascii="Times New Roman" w:hAnsi="Times New Roman" w:cs="Helvetica"/>
          <w:iCs/>
          <w:color w:val="000000"/>
          <w:szCs w:val="36"/>
        </w:rPr>
        <w:tab/>
      </w:r>
      <w:r w:rsidR="005448FF">
        <w:rPr>
          <w:rFonts w:ascii="Times New Roman" w:hAnsi="Times New Roman" w:cs="Helvetica"/>
          <w:iCs/>
          <w:color w:val="000000"/>
          <w:szCs w:val="36"/>
        </w:rPr>
        <w:tab/>
        <w:t>68</w:t>
      </w:r>
      <w:r w:rsidR="00FA5879">
        <w:rPr>
          <w:rFonts w:ascii="Times New Roman" w:hAnsi="Times New Roman" w:cs="Helvetica"/>
          <w:iCs/>
          <w:color w:val="000000"/>
          <w:szCs w:val="36"/>
        </w:rPr>
        <w:t xml:space="preserve"> (11.3%)</w:t>
      </w:r>
      <w:r w:rsidR="00FA5879">
        <w:rPr>
          <w:rFonts w:ascii="Times New Roman" w:hAnsi="Times New Roman" w:cs="Helvetica"/>
          <w:iCs/>
          <w:color w:val="000000"/>
          <w:szCs w:val="36"/>
        </w:rPr>
        <w:tab/>
      </w:r>
      <w:r w:rsidR="005448FF">
        <w:rPr>
          <w:rFonts w:ascii="Times New Roman" w:hAnsi="Times New Roman" w:cs="Helvetica"/>
          <w:iCs/>
          <w:color w:val="000000"/>
          <w:szCs w:val="36"/>
        </w:rPr>
        <w:tab/>
        <w:t>7</w:t>
      </w:r>
      <w:r w:rsidR="006658EA">
        <w:rPr>
          <w:rFonts w:ascii="Times New Roman" w:hAnsi="Times New Roman" w:cs="Helvetica"/>
          <w:iCs/>
          <w:color w:val="000000"/>
          <w:szCs w:val="36"/>
        </w:rPr>
        <w:t xml:space="preserve"> (1.2%)</w:t>
      </w:r>
      <w:r w:rsidR="0070039B">
        <w:rPr>
          <w:rFonts w:ascii="Times New Roman" w:hAnsi="Times New Roman" w:cs="Helvetica"/>
          <w:iCs/>
          <w:color w:val="000000"/>
          <w:szCs w:val="36"/>
        </w:rPr>
        <w:tab/>
        <w:t>336 (55.9%)</w:t>
      </w:r>
    </w:p>
    <w:p w:rsidR="005438F1" w:rsidRDefault="00555FE5" w:rsidP="000D5F78">
      <w:pPr>
        <w:spacing w:line="480" w:lineRule="auto"/>
        <w:rPr>
          <w:rFonts w:ascii="Times New Roman" w:hAnsi="Times New Roman" w:cs="Helvetica"/>
          <w:iCs/>
          <w:color w:val="000000"/>
          <w:szCs w:val="36"/>
        </w:rPr>
      </w:pPr>
      <w:r>
        <w:rPr>
          <w:rFonts w:ascii="Times New Roman" w:hAnsi="Times New Roman" w:cs="Helvetica"/>
          <w:iCs/>
          <w:color w:val="000000"/>
          <w:szCs w:val="36"/>
        </w:rPr>
        <w:t xml:space="preserve">   </w:t>
      </w:r>
      <w:r w:rsidR="005438F1">
        <w:rPr>
          <w:rFonts w:ascii="Times New Roman" w:hAnsi="Times New Roman" w:cs="Helvetica"/>
          <w:iCs/>
          <w:color w:val="000000"/>
          <w:szCs w:val="36"/>
        </w:rPr>
        <w:t>30-39</w:t>
      </w:r>
      <w:r>
        <w:rPr>
          <w:rFonts w:ascii="Times New Roman" w:hAnsi="Times New Roman" w:cs="Helvetica"/>
          <w:iCs/>
          <w:color w:val="000000"/>
          <w:szCs w:val="36"/>
        </w:rPr>
        <w:tab/>
      </w:r>
      <w:r>
        <w:rPr>
          <w:rFonts w:ascii="Times New Roman" w:hAnsi="Times New Roman" w:cs="Helvetica"/>
          <w:iCs/>
          <w:color w:val="000000"/>
          <w:szCs w:val="36"/>
        </w:rPr>
        <w:tab/>
      </w:r>
      <w:r w:rsidR="005448FF">
        <w:rPr>
          <w:rFonts w:ascii="Times New Roman" w:hAnsi="Times New Roman" w:cs="Helvetica"/>
          <w:iCs/>
          <w:color w:val="000000"/>
          <w:szCs w:val="36"/>
        </w:rPr>
        <w:t>92</w:t>
      </w:r>
      <w:r w:rsidR="006658EA">
        <w:rPr>
          <w:rFonts w:ascii="Times New Roman" w:hAnsi="Times New Roman" w:cs="Helvetica"/>
          <w:iCs/>
          <w:color w:val="000000"/>
          <w:szCs w:val="36"/>
        </w:rPr>
        <w:t xml:space="preserve"> (15.3%)</w:t>
      </w:r>
      <w:r w:rsidR="006658EA">
        <w:rPr>
          <w:rFonts w:ascii="Times New Roman" w:hAnsi="Times New Roman" w:cs="Helvetica"/>
          <w:iCs/>
          <w:color w:val="000000"/>
          <w:szCs w:val="36"/>
        </w:rPr>
        <w:tab/>
      </w:r>
      <w:r w:rsidR="005448FF">
        <w:rPr>
          <w:rFonts w:ascii="Times New Roman" w:hAnsi="Times New Roman" w:cs="Helvetica"/>
          <w:iCs/>
          <w:color w:val="000000"/>
          <w:szCs w:val="36"/>
        </w:rPr>
        <w:tab/>
        <w:t>36</w:t>
      </w:r>
      <w:r w:rsidR="006658EA">
        <w:rPr>
          <w:rFonts w:ascii="Times New Roman" w:hAnsi="Times New Roman" w:cs="Helvetica"/>
          <w:iCs/>
          <w:color w:val="000000"/>
          <w:szCs w:val="36"/>
        </w:rPr>
        <w:t xml:space="preserve"> (6.0%)</w:t>
      </w:r>
      <w:r w:rsidR="006658EA">
        <w:rPr>
          <w:rFonts w:ascii="Times New Roman" w:hAnsi="Times New Roman" w:cs="Helvetica"/>
          <w:iCs/>
          <w:color w:val="000000"/>
          <w:szCs w:val="36"/>
        </w:rPr>
        <w:tab/>
      </w:r>
      <w:r w:rsidR="005448FF">
        <w:rPr>
          <w:rFonts w:ascii="Times New Roman" w:hAnsi="Times New Roman" w:cs="Helvetica"/>
          <w:iCs/>
          <w:color w:val="000000"/>
          <w:szCs w:val="36"/>
        </w:rPr>
        <w:tab/>
        <w:t>5</w:t>
      </w:r>
      <w:r w:rsidR="006658EA">
        <w:rPr>
          <w:rFonts w:ascii="Times New Roman" w:hAnsi="Times New Roman" w:cs="Helvetica"/>
          <w:iCs/>
          <w:color w:val="000000"/>
          <w:szCs w:val="36"/>
        </w:rPr>
        <w:t xml:space="preserve"> (.8%)</w:t>
      </w:r>
      <w:r w:rsidR="0070039B">
        <w:rPr>
          <w:rFonts w:ascii="Times New Roman" w:hAnsi="Times New Roman" w:cs="Helvetica"/>
          <w:iCs/>
          <w:color w:val="000000"/>
          <w:szCs w:val="36"/>
        </w:rPr>
        <w:tab/>
      </w:r>
      <w:r w:rsidR="0070039B">
        <w:rPr>
          <w:rFonts w:ascii="Times New Roman" w:hAnsi="Times New Roman" w:cs="Helvetica"/>
          <w:iCs/>
          <w:color w:val="000000"/>
          <w:szCs w:val="36"/>
        </w:rPr>
        <w:tab/>
        <w:t>133 (22.1%)</w:t>
      </w:r>
    </w:p>
    <w:p w:rsidR="005438F1" w:rsidRDefault="00555FE5" w:rsidP="000D5F78">
      <w:pPr>
        <w:spacing w:line="480" w:lineRule="auto"/>
        <w:rPr>
          <w:rFonts w:ascii="Times New Roman" w:hAnsi="Times New Roman" w:cs="Helvetica"/>
          <w:iCs/>
          <w:color w:val="000000"/>
          <w:szCs w:val="36"/>
        </w:rPr>
      </w:pPr>
      <w:r>
        <w:rPr>
          <w:rFonts w:ascii="Times New Roman" w:hAnsi="Times New Roman" w:cs="Helvetica"/>
          <w:iCs/>
          <w:color w:val="000000"/>
          <w:szCs w:val="36"/>
        </w:rPr>
        <w:t xml:space="preserve">   </w:t>
      </w:r>
      <w:r w:rsidR="005438F1">
        <w:rPr>
          <w:rFonts w:ascii="Times New Roman" w:hAnsi="Times New Roman" w:cs="Helvetica"/>
          <w:iCs/>
          <w:color w:val="000000"/>
          <w:szCs w:val="36"/>
        </w:rPr>
        <w:t>40-49</w:t>
      </w:r>
      <w:r>
        <w:rPr>
          <w:rFonts w:ascii="Times New Roman" w:hAnsi="Times New Roman" w:cs="Helvetica"/>
          <w:iCs/>
          <w:color w:val="000000"/>
          <w:szCs w:val="36"/>
        </w:rPr>
        <w:tab/>
      </w:r>
      <w:r>
        <w:rPr>
          <w:rFonts w:ascii="Times New Roman" w:hAnsi="Times New Roman" w:cs="Helvetica"/>
          <w:iCs/>
          <w:color w:val="000000"/>
          <w:szCs w:val="36"/>
        </w:rPr>
        <w:tab/>
        <w:t>79</w:t>
      </w:r>
      <w:r w:rsidR="00E63EF3">
        <w:rPr>
          <w:rFonts w:ascii="Times New Roman" w:hAnsi="Times New Roman" w:cs="Helvetica"/>
          <w:iCs/>
          <w:color w:val="000000"/>
          <w:szCs w:val="36"/>
        </w:rPr>
        <w:t xml:space="preserve"> (13.</w:t>
      </w:r>
      <w:r w:rsidR="006658EA">
        <w:rPr>
          <w:rFonts w:ascii="Times New Roman" w:hAnsi="Times New Roman" w:cs="Helvetica"/>
          <w:iCs/>
          <w:color w:val="000000"/>
          <w:szCs w:val="36"/>
        </w:rPr>
        <w:t>1%)</w:t>
      </w:r>
      <w:r w:rsidR="006658EA">
        <w:rPr>
          <w:rFonts w:ascii="Times New Roman" w:hAnsi="Times New Roman" w:cs="Helvetica"/>
          <w:iCs/>
          <w:color w:val="000000"/>
          <w:szCs w:val="36"/>
        </w:rPr>
        <w:tab/>
      </w:r>
      <w:r>
        <w:rPr>
          <w:rFonts w:ascii="Times New Roman" w:hAnsi="Times New Roman" w:cs="Helvetica"/>
          <w:iCs/>
          <w:color w:val="000000"/>
          <w:szCs w:val="36"/>
        </w:rPr>
        <w:tab/>
        <w:t>17</w:t>
      </w:r>
      <w:r w:rsidR="006658EA">
        <w:rPr>
          <w:rFonts w:ascii="Times New Roman" w:hAnsi="Times New Roman" w:cs="Helvetica"/>
          <w:iCs/>
          <w:color w:val="000000"/>
          <w:szCs w:val="36"/>
        </w:rPr>
        <w:t xml:space="preserve"> (2.8%)</w:t>
      </w:r>
      <w:r w:rsidR="006658EA">
        <w:rPr>
          <w:rFonts w:ascii="Times New Roman" w:hAnsi="Times New Roman" w:cs="Helvetica"/>
          <w:iCs/>
          <w:color w:val="000000"/>
          <w:szCs w:val="36"/>
        </w:rPr>
        <w:tab/>
      </w:r>
      <w:r>
        <w:rPr>
          <w:rFonts w:ascii="Times New Roman" w:hAnsi="Times New Roman" w:cs="Helvetica"/>
          <w:iCs/>
          <w:color w:val="000000"/>
          <w:szCs w:val="36"/>
        </w:rPr>
        <w:tab/>
        <w:t>4</w:t>
      </w:r>
      <w:r w:rsidR="006658EA">
        <w:rPr>
          <w:rFonts w:ascii="Times New Roman" w:hAnsi="Times New Roman" w:cs="Helvetica"/>
          <w:iCs/>
          <w:color w:val="000000"/>
          <w:szCs w:val="36"/>
        </w:rPr>
        <w:t xml:space="preserve"> (.7%)</w:t>
      </w:r>
      <w:r w:rsidR="0070039B">
        <w:rPr>
          <w:rFonts w:ascii="Times New Roman" w:hAnsi="Times New Roman" w:cs="Helvetica"/>
          <w:iCs/>
          <w:color w:val="000000"/>
          <w:szCs w:val="36"/>
        </w:rPr>
        <w:tab/>
      </w:r>
      <w:r w:rsidR="0070039B">
        <w:rPr>
          <w:rFonts w:ascii="Times New Roman" w:hAnsi="Times New Roman" w:cs="Helvetica"/>
          <w:iCs/>
          <w:color w:val="000000"/>
          <w:szCs w:val="36"/>
        </w:rPr>
        <w:tab/>
        <w:t>100 (16.6%)</w:t>
      </w:r>
    </w:p>
    <w:p w:rsidR="005438F1" w:rsidRDefault="00555FE5" w:rsidP="000D5F78">
      <w:pPr>
        <w:spacing w:line="480" w:lineRule="auto"/>
        <w:rPr>
          <w:rFonts w:ascii="Times New Roman" w:hAnsi="Times New Roman" w:cs="Helvetica"/>
          <w:iCs/>
          <w:color w:val="000000"/>
          <w:szCs w:val="36"/>
        </w:rPr>
      </w:pPr>
      <w:r>
        <w:rPr>
          <w:rFonts w:ascii="Times New Roman" w:hAnsi="Times New Roman" w:cs="Helvetica"/>
          <w:iCs/>
          <w:color w:val="000000"/>
          <w:szCs w:val="36"/>
        </w:rPr>
        <w:t xml:space="preserve">   </w:t>
      </w:r>
      <w:r w:rsidR="005438F1">
        <w:rPr>
          <w:rFonts w:ascii="Times New Roman" w:hAnsi="Times New Roman" w:cs="Helvetica"/>
          <w:iCs/>
          <w:color w:val="000000"/>
          <w:szCs w:val="36"/>
        </w:rPr>
        <w:t>50+</w:t>
      </w:r>
      <w:r>
        <w:rPr>
          <w:rFonts w:ascii="Times New Roman" w:hAnsi="Times New Roman" w:cs="Helvetica"/>
          <w:iCs/>
          <w:color w:val="000000"/>
          <w:szCs w:val="36"/>
        </w:rPr>
        <w:tab/>
      </w:r>
      <w:r>
        <w:rPr>
          <w:rFonts w:ascii="Times New Roman" w:hAnsi="Times New Roman" w:cs="Helvetica"/>
          <w:iCs/>
          <w:color w:val="000000"/>
          <w:szCs w:val="36"/>
        </w:rPr>
        <w:tab/>
      </w:r>
      <w:r>
        <w:rPr>
          <w:rFonts w:ascii="Times New Roman" w:hAnsi="Times New Roman" w:cs="Helvetica"/>
          <w:iCs/>
          <w:color w:val="000000"/>
          <w:szCs w:val="36"/>
        </w:rPr>
        <w:tab/>
        <w:t>24</w:t>
      </w:r>
      <w:r w:rsidR="00E63EF3">
        <w:rPr>
          <w:rFonts w:ascii="Times New Roman" w:hAnsi="Times New Roman" w:cs="Helvetica"/>
          <w:iCs/>
          <w:color w:val="000000"/>
          <w:szCs w:val="36"/>
        </w:rPr>
        <w:t xml:space="preserve"> (4.0%)</w:t>
      </w:r>
      <w:r>
        <w:rPr>
          <w:rFonts w:ascii="Times New Roman" w:hAnsi="Times New Roman" w:cs="Helvetica"/>
          <w:iCs/>
          <w:color w:val="000000"/>
          <w:szCs w:val="36"/>
        </w:rPr>
        <w:tab/>
      </w:r>
      <w:r>
        <w:rPr>
          <w:rFonts w:ascii="Times New Roman" w:hAnsi="Times New Roman" w:cs="Helvetica"/>
          <w:iCs/>
          <w:color w:val="000000"/>
          <w:szCs w:val="36"/>
        </w:rPr>
        <w:tab/>
        <w:t>7</w:t>
      </w:r>
      <w:r w:rsidR="00E63EF3">
        <w:rPr>
          <w:rFonts w:ascii="Times New Roman" w:hAnsi="Times New Roman" w:cs="Helvetica"/>
          <w:iCs/>
          <w:color w:val="000000"/>
          <w:szCs w:val="36"/>
        </w:rPr>
        <w:t xml:space="preserve"> (1.2%)</w:t>
      </w:r>
      <w:r w:rsidR="00E63EF3">
        <w:rPr>
          <w:rFonts w:ascii="Times New Roman" w:hAnsi="Times New Roman" w:cs="Helvetica"/>
          <w:iCs/>
          <w:color w:val="000000"/>
          <w:szCs w:val="36"/>
        </w:rPr>
        <w:tab/>
      </w:r>
      <w:r>
        <w:rPr>
          <w:rFonts w:ascii="Times New Roman" w:hAnsi="Times New Roman" w:cs="Helvetica"/>
          <w:iCs/>
          <w:color w:val="000000"/>
          <w:szCs w:val="36"/>
        </w:rPr>
        <w:tab/>
        <w:t>1</w:t>
      </w:r>
      <w:r w:rsidR="00E63EF3">
        <w:rPr>
          <w:rFonts w:ascii="Times New Roman" w:hAnsi="Times New Roman" w:cs="Helvetica"/>
          <w:iCs/>
          <w:color w:val="000000"/>
          <w:szCs w:val="36"/>
        </w:rPr>
        <w:t xml:space="preserve"> (.2%)</w:t>
      </w:r>
      <w:r w:rsidR="0070039B">
        <w:rPr>
          <w:rFonts w:ascii="Times New Roman" w:hAnsi="Times New Roman" w:cs="Helvetica"/>
          <w:iCs/>
          <w:color w:val="000000"/>
          <w:szCs w:val="36"/>
        </w:rPr>
        <w:tab/>
      </w:r>
      <w:r w:rsidR="0070039B">
        <w:rPr>
          <w:rFonts w:ascii="Times New Roman" w:hAnsi="Times New Roman" w:cs="Helvetica"/>
          <w:iCs/>
          <w:color w:val="000000"/>
          <w:szCs w:val="36"/>
        </w:rPr>
        <w:tab/>
        <w:t>32 (5.3%)</w:t>
      </w:r>
    </w:p>
    <w:p w:rsidR="005438F1" w:rsidRDefault="005438F1" w:rsidP="000D5F78">
      <w:pPr>
        <w:spacing w:line="480" w:lineRule="auto"/>
        <w:rPr>
          <w:rFonts w:ascii="Times New Roman" w:hAnsi="Times New Roman" w:cs="Helvetica"/>
          <w:iCs/>
          <w:color w:val="000000"/>
          <w:szCs w:val="36"/>
        </w:rPr>
      </w:pPr>
      <w:r>
        <w:rPr>
          <w:rFonts w:ascii="Times New Roman" w:hAnsi="Times New Roman" w:cs="Helvetica"/>
          <w:iCs/>
          <w:color w:val="000000"/>
          <w:szCs w:val="36"/>
        </w:rPr>
        <w:t>Ethnicity</w:t>
      </w:r>
    </w:p>
    <w:p w:rsidR="005438F1" w:rsidRDefault="00555FE5" w:rsidP="000D5F78">
      <w:pPr>
        <w:spacing w:line="480" w:lineRule="auto"/>
        <w:rPr>
          <w:rFonts w:ascii="Times New Roman" w:hAnsi="Times New Roman" w:cs="Helvetica"/>
          <w:iCs/>
          <w:color w:val="000000"/>
          <w:szCs w:val="36"/>
        </w:rPr>
      </w:pPr>
      <w:r>
        <w:rPr>
          <w:rFonts w:ascii="Times New Roman" w:hAnsi="Times New Roman" w:cs="Helvetica"/>
          <w:iCs/>
          <w:color w:val="000000"/>
          <w:szCs w:val="36"/>
        </w:rPr>
        <w:t xml:space="preserve">   </w:t>
      </w:r>
      <w:r w:rsidR="005438F1">
        <w:rPr>
          <w:rFonts w:ascii="Times New Roman" w:hAnsi="Times New Roman" w:cs="Helvetica"/>
          <w:iCs/>
          <w:color w:val="000000"/>
          <w:szCs w:val="36"/>
        </w:rPr>
        <w:t>White</w:t>
      </w:r>
      <w:r w:rsidR="008C2329">
        <w:rPr>
          <w:rFonts w:ascii="Times New Roman" w:hAnsi="Times New Roman" w:cs="Helvetica"/>
          <w:iCs/>
          <w:color w:val="000000"/>
          <w:szCs w:val="36"/>
        </w:rPr>
        <w:tab/>
      </w:r>
      <w:r w:rsidR="008C2329">
        <w:rPr>
          <w:rFonts w:ascii="Times New Roman" w:hAnsi="Times New Roman" w:cs="Helvetica"/>
          <w:iCs/>
          <w:color w:val="000000"/>
          <w:szCs w:val="36"/>
        </w:rPr>
        <w:tab/>
        <w:t>376 (62.6%)</w:t>
      </w:r>
      <w:r>
        <w:rPr>
          <w:rFonts w:ascii="Times New Roman" w:hAnsi="Times New Roman" w:cs="Helvetica"/>
          <w:iCs/>
          <w:color w:val="000000"/>
          <w:szCs w:val="36"/>
        </w:rPr>
        <w:tab/>
      </w:r>
      <w:r>
        <w:rPr>
          <w:rFonts w:ascii="Times New Roman" w:hAnsi="Times New Roman" w:cs="Helvetica"/>
          <w:iCs/>
          <w:color w:val="000000"/>
          <w:szCs w:val="36"/>
        </w:rPr>
        <w:tab/>
        <w:t>99</w:t>
      </w:r>
      <w:r w:rsidR="008C2329">
        <w:rPr>
          <w:rFonts w:ascii="Times New Roman" w:hAnsi="Times New Roman" w:cs="Helvetica"/>
          <w:iCs/>
          <w:color w:val="000000"/>
          <w:szCs w:val="36"/>
        </w:rPr>
        <w:t xml:space="preserve"> (16.5%)</w:t>
      </w:r>
      <w:r w:rsidR="008C2329">
        <w:rPr>
          <w:rFonts w:ascii="Times New Roman" w:hAnsi="Times New Roman" w:cs="Helvetica"/>
          <w:iCs/>
          <w:color w:val="000000"/>
          <w:szCs w:val="36"/>
        </w:rPr>
        <w:tab/>
      </w:r>
      <w:r>
        <w:rPr>
          <w:rFonts w:ascii="Times New Roman" w:hAnsi="Times New Roman" w:cs="Helvetica"/>
          <w:iCs/>
          <w:color w:val="000000"/>
          <w:szCs w:val="36"/>
        </w:rPr>
        <w:tab/>
        <w:t>13</w:t>
      </w:r>
      <w:r w:rsidR="008C2329">
        <w:rPr>
          <w:rFonts w:ascii="Times New Roman" w:hAnsi="Times New Roman" w:cs="Helvetica"/>
          <w:iCs/>
          <w:color w:val="000000"/>
          <w:szCs w:val="36"/>
        </w:rPr>
        <w:t xml:space="preserve"> (2.2%)</w:t>
      </w:r>
      <w:r>
        <w:rPr>
          <w:rFonts w:ascii="Times New Roman" w:hAnsi="Times New Roman" w:cs="Helvetica"/>
          <w:iCs/>
          <w:color w:val="000000"/>
          <w:szCs w:val="36"/>
        </w:rPr>
        <w:tab/>
        <w:t>488 (81.2%)</w:t>
      </w:r>
    </w:p>
    <w:p w:rsidR="005438F1" w:rsidRDefault="00555FE5" w:rsidP="000D5F78">
      <w:pPr>
        <w:spacing w:line="480" w:lineRule="auto"/>
        <w:rPr>
          <w:rFonts w:ascii="Times New Roman" w:hAnsi="Times New Roman" w:cs="Helvetica"/>
          <w:iCs/>
          <w:color w:val="000000"/>
          <w:szCs w:val="36"/>
        </w:rPr>
      </w:pPr>
      <w:r>
        <w:rPr>
          <w:rFonts w:ascii="Times New Roman" w:hAnsi="Times New Roman" w:cs="Helvetica"/>
          <w:iCs/>
          <w:color w:val="000000"/>
          <w:szCs w:val="36"/>
        </w:rPr>
        <w:t xml:space="preserve">   </w:t>
      </w:r>
      <w:r w:rsidR="005438F1">
        <w:rPr>
          <w:rFonts w:ascii="Times New Roman" w:hAnsi="Times New Roman" w:cs="Helvetica"/>
          <w:iCs/>
          <w:color w:val="000000"/>
          <w:szCs w:val="36"/>
        </w:rPr>
        <w:t>Black</w:t>
      </w:r>
      <w:r>
        <w:rPr>
          <w:rFonts w:ascii="Times New Roman" w:hAnsi="Times New Roman" w:cs="Helvetica"/>
          <w:iCs/>
          <w:color w:val="000000"/>
          <w:szCs w:val="36"/>
        </w:rPr>
        <w:tab/>
      </w:r>
      <w:r>
        <w:rPr>
          <w:rFonts w:ascii="Times New Roman" w:hAnsi="Times New Roman" w:cs="Helvetica"/>
          <w:iCs/>
          <w:color w:val="000000"/>
          <w:szCs w:val="36"/>
        </w:rPr>
        <w:tab/>
        <w:t>37</w:t>
      </w:r>
      <w:r w:rsidR="008C2329">
        <w:rPr>
          <w:rFonts w:ascii="Times New Roman" w:hAnsi="Times New Roman" w:cs="Helvetica"/>
          <w:iCs/>
          <w:color w:val="000000"/>
          <w:szCs w:val="36"/>
        </w:rPr>
        <w:t xml:space="preserve"> (6.2%)</w:t>
      </w:r>
      <w:r w:rsidR="008C2329">
        <w:rPr>
          <w:rFonts w:ascii="Times New Roman" w:hAnsi="Times New Roman" w:cs="Helvetica"/>
          <w:iCs/>
          <w:color w:val="000000"/>
          <w:szCs w:val="36"/>
        </w:rPr>
        <w:tab/>
      </w:r>
      <w:r>
        <w:rPr>
          <w:rFonts w:ascii="Times New Roman" w:hAnsi="Times New Roman" w:cs="Helvetica"/>
          <w:iCs/>
          <w:color w:val="000000"/>
          <w:szCs w:val="36"/>
        </w:rPr>
        <w:tab/>
        <w:t>19</w:t>
      </w:r>
      <w:r w:rsidR="008C2329">
        <w:rPr>
          <w:rFonts w:ascii="Times New Roman" w:hAnsi="Times New Roman" w:cs="Helvetica"/>
          <w:iCs/>
          <w:color w:val="000000"/>
          <w:szCs w:val="36"/>
        </w:rPr>
        <w:t xml:space="preserve"> (3.2%)</w:t>
      </w:r>
      <w:r w:rsidR="008C2329">
        <w:rPr>
          <w:rFonts w:ascii="Times New Roman" w:hAnsi="Times New Roman" w:cs="Helvetica"/>
          <w:iCs/>
          <w:color w:val="000000"/>
          <w:szCs w:val="36"/>
        </w:rPr>
        <w:tab/>
      </w:r>
      <w:r>
        <w:rPr>
          <w:rFonts w:ascii="Times New Roman" w:hAnsi="Times New Roman" w:cs="Helvetica"/>
          <w:iCs/>
          <w:color w:val="000000"/>
          <w:szCs w:val="36"/>
        </w:rPr>
        <w:tab/>
        <w:t>1</w:t>
      </w:r>
      <w:r w:rsidR="00E63EF3">
        <w:rPr>
          <w:rFonts w:ascii="Times New Roman" w:hAnsi="Times New Roman" w:cs="Helvetica"/>
          <w:iCs/>
          <w:color w:val="000000"/>
          <w:szCs w:val="36"/>
        </w:rPr>
        <w:t xml:space="preserve"> (.2%)</w:t>
      </w:r>
      <w:r>
        <w:rPr>
          <w:rFonts w:ascii="Times New Roman" w:hAnsi="Times New Roman" w:cs="Helvetica"/>
          <w:iCs/>
          <w:color w:val="000000"/>
          <w:szCs w:val="36"/>
        </w:rPr>
        <w:tab/>
      </w:r>
      <w:r>
        <w:rPr>
          <w:rFonts w:ascii="Times New Roman" w:hAnsi="Times New Roman" w:cs="Helvetica"/>
          <w:iCs/>
          <w:color w:val="000000"/>
          <w:szCs w:val="36"/>
        </w:rPr>
        <w:tab/>
        <w:t>57 (9.5%)</w:t>
      </w:r>
    </w:p>
    <w:p w:rsidR="005438F1" w:rsidRDefault="00555FE5" w:rsidP="000D5F78">
      <w:pPr>
        <w:spacing w:line="480" w:lineRule="auto"/>
        <w:rPr>
          <w:rFonts w:ascii="Times New Roman" w:hAnsi="Times New Roman" w:cs="Helvetica"/>
          <w:iCs/>
          <w:color w:val="000000"/>
          <w:szCs w:val="36"/>
        </w:rPr>
      </w:pPr>
      <w:r>
        <w:rPr>
          <w:rFonts w:ascii="Times New Roman" w:hAnsi="Times New Roman" w:cs="Helvetica"/>
          <w:iCs/>
          <w:color w:val="000000"/>
          <w:szCs w:val="36"/>
        </w:rPr>
        <w:t xml:space="preserve">   </w:t>
      </w:r>
      <w:r w:rsidR="005438F1">
        <w:rPr>
          <w:rFonts w:ascii="Times New Roman" w:hAnsi="Times New Roman" w:cs="Helvetica"/>
          <w:iCs/>
          <w:color w:val="000000"/>
          <w:szCs w:val="36"/>
        </w:rPr>
        <w:t>Hispanic</w:t>
      </w:r>
      <w:r>
        <w:rPr>
          <w:rFonts w:ascii="Times New Roman" w:hAnsi="Times New Roman" w:cs="Helvetica"/>
          <w:iCs/>
          <w:color w:val="000000"/>
          <w:szCs w:val="36"/>
        </w:rPr>
        <w:tab/>
      </w:r>
      <w:r>
        <w:rPr>
          <w:rFonts w:ascii="Times New Roman" w:hAnsi="Times New Roman" w:cs="Helvetica"/>
          <w:iCs/>
          <w:color w:val="000000"/>
          <w:szCs w:val="36"/>
        </w:rPr>
        <w:tab/>
        <w:t>20</w:t>
      </w:r>
      <w:r w:rsidR="002D27B1">
        <w:rPr>
          <w:rFonts w:ascii="Times New Roman" w:hAnsi="Times New Roman" w:cs="Helvetica"/>
          <w:iCs/>
          <w:color w:val="000000"/>
          <w:szCs w:val="36"/>
        </w:rPr>
        <w:t xml:space="preserve"> (3.3%)</w:t>
      </w:r>
      <w:r w:rsidR="002D27B1">
        <w:rPr>
          <w:rFonts w:ascii="Times New Roman" w:hAnsi="Times New Roman" w:cs="Helvetica"/>
          <w:iCs/>
          <w:color w:val="000000"/>
          <w:szCs w:val="36"/>
        </w:rPr>
        <w:tab/>
      </w:r>
      <w:r>
        <w:rPr>
          <w:rFonts w:ascii="Times New Roman" w:hAnsi="Times New Roman" w:cs="Helvetica"/>
          <w:iCs/>
          <w:color w:val="000000"/>
          <w:szCs w:val="36"/>
        </w:rPr>
        <w:tab/>
        <w:t>6</w:t>
      </w:r>
      <w:r w:rsidR="002D27B1">
        <w:rPr>
          <w:rFonts w:ascii="Times New Roman" w:hAnsi="Times New Roman" w:cs="Helvetica"/>
          <w:iCs/>
          <w:color w:val="000000"/>
          <w:szCs w:val="36"/>
        </w:rPr>
        <w:t xml:space="preserve"> (1.0%)</w:t>
      </w:r>
      <w:r w:rsidR="002D27B1">
        <w:rPr>
          <w:rFonts w:ascii="Times New Roman" w:hAnsi="Times New Roman" w:cs="Helvetica"/>
          <w:iCs/>
          <w:color w:val="000000"/>
          <w:szCs w:val="36"/>
        </w:rPr>
        <w:tab/>
      </w:r>
      <w:r>
        <w:rPr>
          <w:rFonts w:ascii="Times New Roman" w:hAnsi="Times New Roman" w:cs="Helvetica"/>
          <w:iCs/>
          <w:color w:val="000000"/>
          <w:szCs w:val="36"/>
        </w:rPr>
        <w:tab/>
        <w:t>1</w:t>
      </w:r>
      <w:r w:rsidR="00E63EF3">
        <w:rPr>
          <w:rFonts w:ascii="Times New Roman" w:hAnsi="Times New Roman" w:cs="Helvetica"/>
          <w:iCs/>
          <w:color w:val="000000"/>
          <w:szCs w:val="36"/>
        </w:rPr>
        <w:t xml:space="preserve"> (.2%)</w:t>
      </w:r>
      <w:r>
        <w:rPr>
          <w:rFonts w:ascii="Times New Roman" w:hAnsi="Times New Roman" w:cs="Helvetica"/>
          <w:iCs/>
          <w:color w:val="000000"/>
          <w:szCs w:val="36"/>
        </w:rPr>
        <w:tab/>
      </w:r>
      <w:r>
        <w:rPr>
          <w:rFonts w:ascii="Times New Roman" w:hAnsi="Times New Roman" w:cs="Helvetica"/>
          <w:iCs/>
          <w:color w:val="000000"/>
          <w:szCs w:val="36"/>
        </w:rPr>
        <w:tab/>
        <w:t>27 (4.5%)</w:t>
      </w:r>
    </w:p>
    <w:p w:rsidR="00555FE5" w:rsidRDefault="00555FE5" w:rsidP="00555FE5">
      <w:pPr>
        <w:spacing w:line="480" w:lineRule="auto"/>
        <w:rPr>
          <w:rFonts w:ascii="Times New Roman" w:hAnsi="Times New Roman" w:cs="Helvetica"/>
          <w:iCs/>
          <w:color w:val="000000"/>
          <w:szCs w:val="36"/>
        </w:rPr>
      </w:pPr>
      <w:r>
        <w:rPr>
          <w:rFonts w:ascii="Times New Roman" w:hAnsi="Times New Roman" w:cs="Helvetica"/>
          <w:iCs/>
          <w:color w:val="000000"/>
          <w:szCs w:val="36"/>
        </w:rPr>
        <w:t xml:space="preserve">   </w:t>
      </w:r>
      <w:r w:rsidR="005438F1">
        <w:rPr>
          <w:rFonts w:ascii="Times New Roman" w:hAnsi="Times New Roman" w:cs="Helvetica"/>
          <w:iCs/>
          <w:color w:val="000000"/>
          <w:szCs w:val="36"/>
        </w:rPr>
        <w:t>Asian/</w:t>
      </w:r>
      <w:r>
        <w:rPr>
          <w:rFonts w:ascii="Times New Roman" w:hAnsi="Times New Roman" w:cs="Helvetica"/>
          <w:iCs/>
          <w:color w:val="000000"/>
          <w:szCs w:val="36"/>
        </w:rPr>
        <w:tab/>
      </w:r>
      <w:r>
        <w:rPr>
          <w:rFonts w:ascii="Times New Roman" w:hAnsi="Times New Roman" w:cs="Helvetica"/>
          <w:iCs/>
          <w:color w:val="000000"/>
          <w:szCs w:val="36"/>
        </w:rPr>
        <w:tab/>
        <w:t>14</w:t>
      </w:r>
      <w:r w:rsidR="002D27B1">
        <w:rPr>
          <w:rFonts w:ascii="Times New Roman" w:hAnsi="Times New Roman" w:cs="Helvetica"/>
          <w:iCs/>
          <w:color w:val="000000"/>
          <w:szCs w:val="36"/>
        </w:rPr>
        <w:t xml:space="preserve"> (2.3%)</w:t>
      </w:r>
      <w:r w:rsidR="002D27B1">
        <w:rPr>
          <w:rFonts w:ascii="Times New Roman" w:hAnsi="Times New Roman" w:cs="Helvetica"/>
          <w:iCs/>
          <w:color w:val="000000"/>
          <w:szCs w:val="36"/>
        </w:rPr>
        <w:tab/>
      </w:r>
      <w:r>
        <w:rPr>
          <w:rFonts w:ascii="Times New Roman" w:hAnsi="Times New Roman" w:cs="Helvetica"/>
          <w:iCs/>
          <w:color w:val="000000"/>
          <w:szCs w:val="36"/>
        </w:rPr>
        <w:tab/>
        <w:t>2</w:t>
      </w:r>
      <w:r w:rsidR="00E63EF3">
        <w:rPr>
          <w:rFonts w:ascii="Times New Roman" w:hAnsi="Times New Roman" w:cs="Helvetica"/>
          <w:iCs/>
          <w:color w:val="000000"/>
          <w:szCs w:val="36"/>
        </w:rPr>
        <w:t xml:space="preserve"> (.3%)</w:t>
      </w:r>
      <w:r>
        <w:rPr>
          <w:rFonts w:ascii="Times New Roman" w:hAnsi="Times New Roman" w:cs="Helvetica"/>
          <w:iCs/>
          <w:color w:val="000000"/>
          <w:szCs w:val="36"/>
        </w:rPr>
        <w:tab/>
      </w:r>
      <w:r>
        <w:rPr>
          <w:rFonts w:ascii="Times New Roman" w:hAnsi="Times New Roman" w:cs="Helvetica"/>
          <w:iCs/>
          <w:color w:val="000000"/>
          <w:szCs w:val="36"/>
        </w:rPr>
        <w:tab/>
      </w:r>
      <w:r>
        <w:rPr>
          <w:rFonts w:ascii="Times New Roman" w:hAnsi="Times New Roman" w:cs="Helvetica"/>
          <w:iCs/>
          <w:color w:val="000000"/>
          <w:szCs w:val="36"/>
        </w:rPr>
        <w:tab/>
        <w:t>0</w:t>
      </w:r>
      <w:r w:rsidR="00E63EF3">
        <w:rPr>
          <w:rFonts w:ascii="Times New Roman" w:hAnsi="Times New Roman" w:cs="Helvetica"/>
          <w:iCs/>
          <w:color w:val="000000"/>
          <w:szCs w:val="36"/>
        </w:rPr>
        <w:t xml:space="preserve"> (0%)</w:t>
      </w:r>
      <w:r>
        <w:rPr>
          <w:rFonts w:ascii="Times New Roman" w:hAnsi="Times New Roman" w:cs="Helvetica"/>
          <w:iCs/>
          <w:color w:val="000000"/>
          <w:szCs w:val="36"/>
        </w:rPr>
        <w:tab/>
      </w:r>
      <w:r>
        <w:rPr>
          <w:rFonts w:ascii="Times New Roman" w:hAnsi="Times New Roman" w:cs="Helvetica"/>
          <w:iCs/>
          <w:color w:val="000000"/>
          <w:szCs w:val="36"/>
        </w:rPr>
        <w:tab/>
      </w:r>
      <w:r w:rsidR="0070039B">
        <w:rPr>
          <w:rFonts w:ascii="Times New Roman" w:hAnsi="Times New Roman" w:cs="Helvetica"/>
          <w:iCs/>
          <w:color w:val="000000"/>
          <w:szCs w:val="36"/>
        </w:rPr>
        <w:t>16 (2.7%)</w:t>
      </w:r>
    </w:p>
    <w:p w:rsidR="005438F1" w:rsidRDefault="00555FE5" w:rsidP="00555FE5">
      <w:pPr>
        <w:spacing w:line="480" w:lineRule="auto"/>
        <w:rPr>
          <w:rFonts w:ascii="Times New Roman" w:hAnsi="Times New Roman" w:cs="Helvetica"/>
          <w:iCs/>
          <w:color w:val="000000"/>
          <w:szCs w:val="36"/>
        </w:rPr>
      </w:pPr>
      <w:r>
        <w:rPr>
          <w:rFonts w:ascii="Times New Roman" w:hAnsi="Times New Roman" w:cs="Helvetica"/>
          <w:iCs/>
          <w:color w:val="000000"/>
          <w:szCs w:val="36"/>
        </w:rPr>
        <w:t xml:space="preserve">   </w:t>
      </w:r>
      <w:r w:rsidR="005438F1">
        <w:rPr>
          <w:rFonts w:ascii="Times New Roman" w:hAnsi="Times New Roman" w:cs="Helvetica"/>
          <w:iCs/>
          <w:color w:val="000000"/>
          <w:szCs w:val="36"/>
        </w:rPr>
        <w:t>Pacific Islander</w:t>
      </w:r>
      <w:r>
        <w:rPr>
          <w:rFonts w:ascii="Times New Roman" w:hAnsi="Times New Roman" w:cs="Helvetica"/>
          <w:iCs/>
          <w:color w:val="000000"/>
          <w:szCs w:val="36"/>
        </w:rPr>
        <w:tab/>
      </w:r>
      <w:r>
        <w:rPr>
          <w:rFonts w:ascii="Times New Roman" w:hAnsi="Times New Roman" w:cs="Helvetica"/>
          <w:iCs/>
          <w:color w:val="000000"/>
          <w:szCs w:val="36"/>
        </w:rPr>
        <w:tab/>
      </w:r>
    </w:p>
    <w:p w:rsidR="005438F1" w:rsidRDefault="00555FE5" w:rsidP="000D5F78">
      <w:pPr>
        <w:spacing w:line="480" w:lineRule="auto"/>
        <w:rPr>
          <w:rFonts w:ascii="Times New Roman" w:hAnsi="Times New Roman" w:cs="Helvetica"/>
          <w:iCs/>
          <w:color w:val="000000"/>
          <w:szCs w:val="36"/>
        </w:rPr>
      </w:pPr>
      <w:r>
        <w:rPr>
          <w:rFonts w:ascii="Times New Roman" w:hAnsi="Times New Roman" w:cs="Helvetica"/>
          <w:iCs/>
          <w:color w:val="000000"/>
          <w:szCs w:val="36"/>
        </w:rPr>
        <w:t xml:space="preserve">   </w:t>
      </w:r>
      <w:r w:rsidR="005438F1">
        <w:rPr>
          <w:rFonts w:ascii="Times New Roman" w:hAnsi="Times New Roman" w:cs="Helvetica"/>
          <w:iCs/>
          <w:color w:val="000000"/>
          <w:szCs w:val="36"/>
        </w:rPr>
        <w:t>American</w:t>
      </w:r>
      <w:r>
        <w:rPr>
          <w:rFonts w:ascii="Times New Roman" w:hAnsi="Times New Roman" w:cs="Helvetica"/>
          <w:iCs/>
          <w:color w:val="000000"/>
          <w:szCs w:val="36"/>
        </w:rPr>
        <w:t xml:space="preserve"> Indian</w:t>
      </w:r>
      <w:r w:rsidR="005438F1">
        <w:rPr>
          <w:rFonts w:ascii="Times New Roman" w:hAnsi="Times New Roman" w:cs="Helvetica"/>
          <w:iCs/>
          <w:color w:val="000000"/>
          <w:szCs w:val="36"/>
        </w:rPr>
        <w:t>/</w:t>
      </w:r>
      <w:r>
        <w:rPr>
          <w:rFonts w:ascii="Times New Roman" w:hAnsi="Times New Roman" w:cs="Helvetica"/>
          <w:iCs/>
          <w:color w:val="000000"/>
          <w:szCs w:val="36"/>
        </w:rPr>
        <w:tab/>
        <w:t>9</w:t>
      </w:r>
      <w:r w:rsidR="002D27B1">
        <w:rPr>
          <w:rFonts w:ascii="Times New Roman" w:hAnsi="Times New Roman" w:cs="Helvetica"/>
          <w:iCs/>
          <w:color w:val="000000"/>
          <w:szCs w:val="36"/>
        </w:rPr>
        <w:t xml:space="preserve"> (1.5%)</w:t>
      </w:r>
      <w:r w:rsidR="002D27B1">
        <w:rPr>
          <w:rFonts w:ascii="Times New Roman" w:hAnsi="Times New Roman" w:cs="Helvetica"/>
          <w:iCs/>
          <w:color w:val="000000"/>
          <w:szCs w:val="36"/>
        </w:rPr>
        <w:tab/>
      </w:r>
      <w:r>
        <w:rPr>
          <w:rFonts w:ascii="Times New Roman" w:hAnsi="Times New Roman" w:cs="Helvetica"/>
          <w:iCs/>
          <w:color w:val="000000"/>
          <w:szCs w:val="36"/>
        </w:rPr>
        <w:tab/>
        <w:t>2</w:t>
      </w:r>
      <w:r w:rsidR="00E63EF3">
        <w:rPr>
          <w:rFonts w:ascii="Times New Roman" w:hAnsi="Times New Roman" w:cs="Helvetica"/>
          <w:iCs/>
          <w:color w:val="000000"/>
          <w:szCs w:val="36"/>
        </w:rPr>
        <w:t xml:space="preserve"> (3%)</w:t>
      </w:r>
      <w:r>
        <w:rPr>
          <w:rFonts w:ascii="Times New Roman" w:hAnsi="Times New Roman" w:cs="Helvetica"/>
          <w:iCs/>
          <w:color w:val="000000"/>
          <w:szCs w:val="36"/>
        </w:rPr>
        <w:tab/>
      </w:r>
      <w:r>
        <w:rPr>
          <w:rFonts w:ascii="Times New Roman" w:hAnsi="Times New Roman" w:cs="Helvetica"/>
          <w:iCs/>
          <w:color w:val="000000"/>
          <w:szCs w:val="36"/>
        </w:rPr>
        <w:tab/>
      </w:r>
      <w:r>
        <w:rPr>
          <w:rFonts w:ascii="Times New Roman" w:hAnsi="Times New Roman" w:cs="Helvetica"/>
          <w:iCs/>
          <w:color w:val="000000"/>
          <w:szCs w:val="36"/>
        </w:rPr>
        <w:tab/>
        <w:t>2</w:t>
      </w:r>
      <w:r w:rsidR="00E63EF3">
        <w:rPr>
          <w:rFonts w:ascii="Times New Roman" w:hAnsi="Times New Roman" w:cs="Helvetica"/>
          <w:iCs/>
          <w:color w:val="000000"/>
          <w:szCs w:val="36"/>
        </w:rPr>
        <w:t xml:space="preserve"> (.3%)</w:t>
      </w:r>
      <w:r w:rsidR="0070039B">
        <w:rPr>
          <w:rFonts w:ascii="Times New Roman" w:hAnsi="Times New Roman" w:cs="Helvetica"/>
          <w:iCs/>
          <w:color w:val="000000"/>
          <w:szCs w:val="36"/>
        </w:rPr>
        <w:tab/>
      </w:r>
      <w:r w:rsidR="0070039B">
        <w:rPr>
          <w:rFonts w:ascii="Times New Roman" w:hAnsi="Times New Roman" w:cs="Helvetica"/>
          <w:iCs/>
          <w:color w:val="000000"/>
          <w:szCs w:val="36"/>
        </w:rPr>
        <w:tab/>
        <w:t>13 (2.2%)</w:t>
      </w:r>
    </w:p>
    <w:p w:rsidR="005438F1" w:rsidRDefault="00555FE5" w:rsidP="000D5F78">
      <w:pPr>
        <w:spacing w:line="480" w:lineRule="auto"/>
        <w:rPr>
          <w:rFonts w:ascii="Times New Roman" w:hAnsi="Times New Roman" w:cs="Helvetica"/>
          <w:iCs/>
          <w:color w:val="000000"/>
          <w:szCs w:val="36"/>
        </w:rPr>
      </w:pPr>
      <w:r>
        <w:rPr>
          <w:rFonts w:ascii="Times New Roman" w:hAnsi="Times New Roman" w:cs="Helvetica"/>
          <w:iCs/>
          <w:color w:val="000000"/>
          <w:szCs w:val="36"/>
        </w:rPr>
        <w:t xml:space="preserve">   </w:t>
      </w:r>
      <w:r w:rsidR="005438F1">
        <w:rPr>
          <w:rFonts w:ascii="Times New Roman" w:hAnsi="Times New Roman" w:cs="Helvetica"/>
          <w:iCs/>
          <w:color w:val="000000"/>
          <w:szCs w:val="36"/>
        </w:rPr>
        <w:t>Alaska Native</w:t>
      </w:r>
    </w:p>
    <w:p w:rsidR="005438F1" w:rsidRDefault="005438F1" w:rsidP="000D5F78">
      <w:pPr>
        <w:spacing w:line="480" w:lineRule="auto"/>
        <w:rPr>
          <w:rFonts w:ascii="Times New Roman" w:hAnsi="Times New Roman" w:cs="Helvetica"/>
          <w:iCs/>
          <w:color w:val="000000"/>
          <w:szCs w:val="36"/>
        </w:rPr>
      </w:pPr>
      <w:r>
        <w:rPr>
          <w:rFonts w:ascii="Times New Roman" w:hAnsi="Times New Roman" w:cs="Helvetica"/>
          <w:iCs/>
          <w:color w:val="000000"/>
          <w:szCs w:val="36"/>
        </w:rPr>
        <w:t>Grade Level</w:t>
      </w:r>
    </w:p>
    <w:p w:rsidR="005438F1" w:rsidRDefault="00555FE5" w:rsidP="000D5F78">
      <w:pPr>
        <w:spacing w:line="480" w:lineRule="auto"/>
        <w:rPr>
          <w:rFonts w:ascii="Times New Roman" w:hAnsi="Times New Roman" w:cs="Helvetica"/>
          <w:iCs/>
          <w:color w:val="000000"/>
          <w:szCs w:val="36"/>
        </w:rPr>
      </w:pPr>
      <w:r>
        <w:rPr>
          <w:rFonts w:ascii="Times New Roman" w:hAnsi="Times New Roman" w:cs="Helvetica"/>
          <w:iCs/>
          <w:color w:val="000000"/>
          <w:szCs w:val="36"/>
        </w:rPr>
        <w:t xml:space="preserve">   </w:t>
      </w:r>
      <w:r w:rsidR="005438F1">
        <w:rPr>
          <w:rFonts w:ascii="Times New Roman" w:hAnsi="Times New Roman" w:cs="Helvetica"/>
          <w:iCs/>
          <w:color w:val="000000"/>
          <w:szCs w:val="36"/>
        </w:rPr>
        <w:t>Elementa</w:t>
      </w:r>
      <w:r w:rsidR="002D27B1">
        <w:rPr>
          <w:rFonts w:ascii="Times New Roman" w:hAnsi="Times New Roman" w:cs="Helvetica"/>
          <w:iCs/>
          <w:color w:val="000000"/>
          <w:szCs w:val="36"/>
        </w:rPr>
        <w:t>ry (K-4)</w:t>
      </w:r>
      <w:r w:rsidR="002D27B1">
        <w:rPr>
          <w:rFonts w:ascii="Times New Roman" w:hAnsi="Times New Roman" w:cs="Helvetica"/>
          <w:iCs/>
          <w:color w:val="000000"/>
          <w:szCs w:val="36"/>
        </w:rPr>
        <w:tab/>
        <w:t>124 (20.6%)</w:t>
      </w:r>
      <w:r>
        <w:rPr>
          <w:rFonts w:ascii="Times New Roman" w:hAnsi="Times New Roman" w:cs="Helvetica"/>
          <w:iCs/>
          <w:color w:val="000000"/>
          <w:szCs w:val="36"/>
        </w:rPr>
        <w:tab/>
      </w:r>
      <w:r>
        <w:rPr>
          <w:rFonts w:ascii="Times New Roman" w:hAnsi="Times New Roman" w:cs="Helvetica"/>
          <w:iCs/>
          <w:color w:val="000000"/>
          <w:szCs w:val="36"/>
        </w:rPr>
        <w:tab/>
        <w:t>34</w:t>
      </w:r>
      <w:r w:rsidR="002D27B1">
        <w:rPr>
          <w:rFonts w:ascii="Times New Roman" w:hAnsi="Times New Roman" w:cs="Helvetica"/>
          <w:iCs/>
          <w:color w:val="000000"/>
          <w:szCs w:val="36"/>
        </w:rPr>
        <w:t xml:space="preserve"> (5.7%)</w:t>
      </w:r>
      <w:r w:rsidR="002D27B1">
        <w:rPr>
          <w:rFonts w:ascii="Times New Roman" w:hAnsi="Times New Roman" w:cs="Helvetica"/>
          <w:iCs/>
          <w:color w:val="000000"/>
          <w:szCs w:val="36"/>
        </w:rPr>
        <w:tab/>
      </w:r>
      <w:r>
        <w:rPr>
          <w:rFonts w:ascii="Times New Roman" w:hAnsi="Times New Roman" w:cs="Helvetica"/>
          <w:iCs/>
          <w:color w:val="000000"/>
          <w:szCs w:val="36"/>
        </w:rPr>
        <w:tab/>
        <w:t>6</w:t>
      </w:r>
      <w:r w:rsidR="002D27B1">
        <w:rPr>
          <w:rFonts w:ascii="Times New Roman" w:hAnsi="Times New Roman" w:cs="Helvetica"/>
          <w:iCs/>
          <w:color w:val="000000"/>
          <w:szCs w:val="36"/>
        </w:rPr>
        <w:t xml:space="preserve"> (1.0%)</w:t>
      </w:r>
      <w:r w:rsidR="0070039B">
        <w:rPr>
          <w:rFonts w:ascii="Times New Roman" w:hAnsi="Times New Roman" w:cs="Helvetica"/>
          <w:iCs/>
          <w:color w:val="000000"/>
          <w:szCs w:val="36"/>
        </w:rPr>
        <w:tab/>
        <w:t>164 (</w:t>
      </w:r>
      <w:r w:rsidR="002D27B1">
        <w:rPr>
          <w:rFonts w:ascii="Times New Roman" w:hAnsi="Times New Roman" w:cs="Helvetica"/>
          <w:iCs/>
          <w:color w:val="000000"/>
          <w:szCs w:val="36"/>
        </w:rPr>
        <w:t>27.3</w:t>
      </w:r>
      <w:r w:rsidR="0070039B">
        <w:rPr>
          <w:rFonts w:ascii="Times New Roman" w:hAnsi="Times New Roman" w:cs="Helvetica"/>
          <w:iCs/>
          <w:color w:val="000000"/>
          <w:szCs w:val="36"/>
        </w:rPr>
        <w:t>%)</w:t>
      </w:r>
    </w:p>
    <w:p w:rsidR="005438F1" w:rsidRDefault="00555FE5" w:rsidP="000D5F78">
      <w:pPr>
        <w:spacing w:line="480" w:lineRule="auto"/>
        <w:rPr>
          <w:rFonts w:ascii="Times New Roman" w:hAnsi="Times New Roman" w:cs="Helvetica"/>
          <w:iCs/>
          <w:color w:val="000000"/>
          <w:szCs w:val="36"/>
        </w:rPr>
      </w:pPr>
      <w:r>
        <w:rPr>
          <w:rFonts w:ascii="Times New Roman" w:hAnsi="Times New Roman" w:cs="Helvetica"/>
          <w:iCs/>
          <w:color w:val="000000"/>
          <w:szCs w:val="36"/>
        </w:rPr>
        <w:t xml:space="preserve">   </w:t>
      </w:r>
      <w:r w:rsidR="005438F1">
        <w:rPr>
          <w:rFonts w:ascii="Times New Roman" w:hAnsi="Times New Roman" w:cs="Helvetica"/>
          <w:iCs/>
          <w:color w:val="000000"/>
          <w:szCs w:val="36"/>
        </w:rPr>
        <w:t>Middle (5-8)</w:t>
      </w:r>
      <w:r>
        <w:rPr>
          <w:rFonts w:ascii="Times New Roman" w:hAnsi="Times New Roman" w:cs="Helvetica"/>
          <w:iCs/>
          <w:color w:val="000000"/>
          <w:szCs w:val="36"/>
        </w:rPr>
        <w:tab/>
      </w:r>
      <w:r>
        <w:rPr>
          <w:rFonts w:ascii="Times New Roman" w:hAnsi="Times New Roman" w:cs="Helvetica"/>
          <w:iCs/>
          <w:color w:val="000000"/>
          <w:szCs w:val="36"/>
        </w:rPr>
        <w:tab/>
        <w:t>118</w:t>
      </w:r>
      <w:r w:rsidR="00D32C91">
        <w:rPr>
          <w:rFonts w:ascii="Times New Roman" w:hAnsi="Times New Roman" w:cs="Helvetica"/>
          <w:iCs/>
          <w:color w:val="000000"/>
          <w:szCs w:val="36"/>
        </w:rPr>
        <w:t xml:space="preserve"> (19.6%)</w:t>
      </w:r>
      <w:r w:rsidR="00D32C91">
        <w:rPr>
          <w:rFonts w:ascii="Times New Roman" w:hAnsi="Times New Roman" w:cs="Helvetica"/>
          <w:iCs/>
          <w:color w:val="000000"/>
          <w:szCs w:val="36"/>
        </w:rPr>
        <w:tab/>
      </w:r>
      <w:r>
        <w:rPr>
          <w:rFonts w:ascii="Times New Roman" w:hAnsi="Times New Roman" w:cs="Helvetica"/>
          <w:iCs/>
          <w:color w:val="000000"/>
          <w:szCs w:val="36"/>
        </w:rPr>
        <w:tab/>
        <w:t>35</w:t>
      </w:r>
      <w:r w:rsidR="00D32C91">
        <w:rPr>
          <w:rFonts w:ascii="Times New Roman" w:hAnsi="Times New Roman" w:cs="Helvetica"/>
          <w:iCs/>
          <w:color w:val="000000"/>
          <w:szCs w:val="36"/>
        </w:rPr>
        <w:t xml:space="preserve"> (5.8%)</w:t>
      </w:r>
      <w:r w:rsidR="00D32C91">
        <w:rPr>
          <w:rFonts w:ascii="Times New Roman" w:hAnsi="Times New Roman" w:cs="Helvetica"/>
          <w:iCs/>
          <w:color w:val="000000"/>
          <w:szCs w:val="36"/>
        </w:rPr>
        <w:tab/>
      </w:r>
      <w:r>
        <w:rPr>
          <w:rFonts w:ascii="Times New Roman" w:hAnsi="Times New Roman" w:cs="Helvetica"/>
          <w:iCs/>
          <w:color w:val="000000"/>
          <w:szCs w:val="36"/>
        </w:rPr>
        <w:tab/>
        <w:t>1</w:t>
      </w:r>
      <w:r w:rsidR="00E63EF3">
        <w:rPr>
          <w:rFonts w:ascii="Times New Roman" w:hAnsi="Times New Roman" w:cs="Helvetica"/>
          <w:iCs/>
          <w:color w:val="000000"/>
          <w:szCs w:val="36"/>
        </w:rPr>
        <w:t xml:space="preserve"> (.2%)</w:t>
      </w:r>
      <w:r w:rsidR="0070039B">
        <w:rPr>
          <w:rFonts w:ascii="Times New Roman" w:hAnsi="Times New Roman" w:cs="Helvetica"/>
          <w:iCs/>
          <w:color w:val="000000"/>
          <w:szCs w:val="36"/>
        </w:rPr>
        <w:tab/>
      </w:r>
      <w:r w:rsidR="0070039B">
        <w:rPr>
          <w:rFonts w:ascii="Times New Roman" w:hAnsi="Times New Roman" w:cs="Helvetica"/>
          <w:iCs/>
          <w:color w:val="000000"/>
          <w:szCs w:val="36"/>
        </w:rPr>
        <w:tab/>
        <w:t>154 (</w:t>
      </w:r>
      <w:r w:rsidR="00D32C91">
        <w:rPr>
          <w:rFonts w:ascii="Times New Roman" w:hAnsi="Times New Roman" w:cs="Helvetica"/>
          <w:iCs/>
          <w:color w:val="000000"/>
          <w:szCs w:val="36"/>
        </w:rPr>
        <w:t>25.6</w:t>
      </w:r>
      <w:r w:rsidR="0070039B">
        <w:rPr>
          <w:rFonts w:ascii="Times New Roman" w:hAnsi="Times New Roman" w:cs="Helvetica"/>
          <w:iCs/>
          <w:color w:val="000000"/>
          <w:szCs w:val="36"/>
        </w:rPr>
        <w:t>%)</w:t>
      </w:r>
    </w:p>
    <w:p w:rsidR="00555FE5" w:rsidRDefault="00555FE5" w:rsidP="000D5F78">
      <w:pPr>
        <w:spacing w:line="480" w:lineRule="auto"/>
        <w:rPr>
          <w:rFonts w:ascii="Times New Roman" w:hAnsi="Times New Roman" w:cs="Helvetica"/>
          <w:iCs/>
          <w:color w:val="000000"/>
          <w:szCs w:val="36"/>
        </w:rPr>
      </w:pPr>
      <w:r>
        <w:rPr>
          <w:rFonts w:ascii="Times New Roman" w:hAnsi="Times New Roman" w:cs="Helvetica"/>
          <w:iCs/>
          <w:color w:val="000000"/>
          <w:szCs w:val="36"/>
        </w:rPr>
        <w:t xml:space="preserve">   </w:t>
      </w:r>
      <w:r w:rsidR="005438F1">
        <w:rPr>
          <w:rFonts w:ascii="Times New Roman" w:hAnsi="Times New Roman" w:cs="Helvetica"/>
          <w:iCs/>
          <w:color w:val="000000"/>
          <w:szCs w:val="36"/>
        </w:rPr>
        <w:t>High (9-12)</w:t>
      </w:r>
      <w:r>
        <w:rPr>
          <w:rFonts w:ascii="Times New Roman" w:hAnsi="Times New Roman" w:cs="Helvetica"/>
          <w:iCs/>
          <w:color w:val="000000"/>
          <w:szCs w:val="36"/>
        </w:rPr>
        <w:tab/>
      </w:r>
      <w:r>
        <w:rPr>
          <w:rFonts w:ascii="Times New Roman" w:hAnsi="Times New Roman" w:cs="Helvetica"/>
          <w:iCs/>
          <w:color w:val="000000"/>
          <w:szCs w:val="36"/>
        </w:rPr>
        <w:tab/>
        <w:t>193</w:t>
      </w:r>
      <w:r w:rsidR="004F0D54">
        <w:rPr>
          <w:rFonts w:ascii="Times New Roman" w:hAnsi="Times New Roman" w:cs="Helvetica"/>
          <w:iCs/>
          <w:color w:val="000000"/>
          <w:szCs w:val="36"/>
        </w:rPr>
        <w:t xml:space="preserve"> (32.1%)</w:t>
      </w:r>
      <w:r>
        <w:rPr>
          <w:rFonts w:ascii="Times New Roman" w:hAnsi="Times New Roman" w:cs="Helvetica"/>
          <w:iCs/>
          <w:color w:val="000000"/>
          <w:szCs w:val="36"/>
        </w:rPr>
        <w:tab/>
      </w:r>
      <w:r>
        <w:rPr>
          <w:rFonts w:ascii="Times New Roman" w:hAnsi="Times New Roman" w:cs="Helvetica"/>
          <w:iCs/>
          <w:color w:val="000000"/>
          <w:szCs w:val="36"/>
        </w:rPr>
        <w:tab/>
        <w:t>55</w:t>
      </w:r>
      <w:r w:rsidR="004F0D54">
        <w:rPr>
          <w:rFonts w:ascii="Times New Roman" w:hAnsi="Times New Roman" w:cs="Helvetica"/>
          <w:iCs/>
          <w:color w:val="000000"/>
          <w:szCs w:val="36"/>
        </w:rPr>
        <w:t xml:space="preserve"> (9.2%)</w:t>
      </w:r>
      <w:r w:rsidR="004F0D54">
        <w:rPr>
          <w:rFonts w:ascii="Times New Roman" w:hAnsi="Times New Roman" w:cs="Helvetica"/>
          <w:iCs/>
          <w:color w:val="000000"/>
          <w:szCs w:val="36"/>
        </w:rPr>
        <w:tab/>
      </w:r>
      <w:r>
        <w:rPr>
          <w:rFonts w:ascii="Times New Roman" w:hAnsi="Times New Roman" w:cs="Helvetica"/>
          <w:iCs/>
          <w:color w:val="000000"/>
          <w:szCs w:val="36"/>
        </w:rPr>
        <w:tab/>
        <w:t>9</w:t>
      </w:r>
      <w:r w:rsidR="004F0D54">
        <w:rPr>
          <w:rFonts w:ascii="Times New Roman" w:hAnsi="Times New Roman" w:cs="Helvetica"/>
          <w:iCs/>
          <w:color w:val="000000"/>
          <w:szCs w:val="36"/>
        </w:rPr>
        <w:t xml:space="preserve"> (1.5%)</w:t>
      </w:r>
      <w:r w:rsidR="004F0D54">
        <w:rPr>
          <w:rFonts w:ascii="Times New Roman" w:hAnsi="Times New Roman" w:cs="Helvetica"/>
          <w:iCs/>
          <w:color w:val="000000"/>
          <w:szCs w:val="36"/>
        </w:rPr>
        <w:tab/>
      </w:r>
      <w:r w:rsidR="0070039B">
        <w:rPr>
          <w:rFonts w:ascii="Times New Roman" w:hAnsi="Times New Roman" w:cs="Helvetica"/>
          <w:iCs/>
          <w:color w:val="000000"/>
          <w:szCs w:val="36"/>
        </w:rPr>
        <w:t>2</w:t>
      </w:r>
      <w:r w:rsidR="004F0D54">
        <w:rPr>
          <w:rFonts w:ascii="Times New Roman" w:hAnsi="Times New Roman" w:cs="Helvetica"/>
          <w:iCs/>
          <w:color w:val="000000"/>
          <w:szCs w:val="36"/>
        </w:rPr>
        <w:t>5</w:t>
      </w:r>
      <w:r w:rsidR="0070039B">
        <w:rPr>
          <w:rFonts w:ascii="Times New Roman" w:hAnsi="Times New Roman" w:cs="Helvetica"/>
          <w:iCs/>
          <w:color w:val="000000"/>
          <w:szCs w:val="36"/>
        </w:rPr>
        <w:t>7</w:t>
      </w:r>
      <w:r w:rsidR="004F0D54">
        <w:rPr>
          <w:rFonts w:ascii="Times New Roman" w:hAnsi="Times New Roman" w:cs="Helvetica"/>
          <w:iCs/>
          <w:color w:val="000000"/>
          <w:szCs w:val="36"/>
        </w:rPr>
        <w:t xml:space="preserve"> (42.8%)</w:t>
      </w:r>
    </w:p>
    <w:p w:rsidR="005438F1" w:rsidRDefault="00555FE5" w:rsidP="000D5F78">
      <w:pPr>
        <w:spacing w:line="480" w:lineRule="auto"/>
        <w:rPr>
          <w:rFonts w:ascii="Times New Roman" w:hAnsi="Times New Roman" w:cs="Helvetica"/>
          <w:iCs/>
          <w:color w:val="000000"/>
          <w:szCs w:val="36"/>
        </w:rPr>
      </w:pPr>
      <w:r>
        <w:rPr>
          <w:rFonts w:ascii="Times New Roman" w:hAnsi="Times New Roman" w:cs="Helvetica"/>
          <w:iCs/>
          <w:color w:val="000000"/>
          <w:szCs w:val="36"/>
        </w:rPr>
        <w:t xml:space="preserve">   Other</w:t>
      </w:r>
      <w:r>
        <w:rPr>
          <w:rFonts w:ascii="Times New Roman" w:hAnsi="Times New Roman" w:cs="Helvetica"/>
          <w:iCs/>
          <w:color w:val="000000"/>
          <w:szCs w:val="36"/>
        </w:rPr>
        <w:tab/>
      </w:r>
      <w:r>
        <w:rPr>
          <w:rFonts w:ascii="Times New Roman" w:hAnsi="Times New Roman" w:cs="Helvetica"/>
          <w:iCs/>
          <w:color w:val="000000"/>
          <w:szCs w:val="36"/>
        </w:rPr>
        <w:tab/>
        <w:t>21</w:t>
      </w:r>
      <w:r w:rsidR="004F0D54">
        <w:rPr>
          <w:rFonts w:ascii="Times New Roman" w:hAnsi="Times New Roman" w:cs="Helvetica"/>
          <w:iCs/>
          <w:color w:val="000000"/>
          <w:szCs w:val="36"/>
        </w:rPr>
        <w:t xml:space="preserve"> (3.5%)</w:t>
      </w:r>
      <w:r w:rsidR="004F0D54">
        <w:rPr>
          <w:rFonts w:ascii="Times New Roman" w:hAnsi="Times New Roman" w:cs="Helvetica"/>
          <w:iCs/>
          <w:color w:val="000000"/>
          <w:szCs w:val="36"/>
        </w:rPr>
        <w:tab/>
      </w:r>
      <w:r>
        <w:rPr>
          <w:rFonts w:ascii="Times New Roman" w:hAnsi="Times New Roman" w:cs="Helvetica"/>
          <w:iCs/>
          <w:color w:val="000000"/>
          <w:szCs w:val="36"/>
        </w:rPr>
        <w:tab/>
        <w:t>4</w:t>
      </w:r>
      <w:r w:rsidR="004F0D54">
        <w:rPr>
          <w:rFonts w:ascii="Times New Roman" w:hAnsi="Times New Roman" w:cs="Helvetica"/>
          <w:iCs/>
          <w:color w:val="000000"/>
          <w:szCs w:val="36"/>
        </w:rPr>
        <w:t xml:space="preserve"> (.7%)</w:t>
      </w:r>
      <w:r>
        <w:rPr>
          <w:rFonts w:ascii="Times New Roman" w:hAnsi="Times New Roman" w:cs="Helvetica"/>
          <w:iCs/>
          <w:color w:val="000000"/>
          <w:szCs w:val="36"/>
        </w:rPr>
        <w:tab/>
      </w:r>
      <w:r>
        <w:rPr>
          <w:rFonts w:ascii="Times New Roman" w:hAnsi="Times New Roman" w:cs="Helvetica"/>
          <w:iCs/>
          <w:color w:val="000000"/>
          <w:szCs w:val="36"/>
        </w:rPr>
        <w:tab/>
      </w:r>
      <w:r>
        <w:rPr>
          <w:rFonts w:ascii="Times New Roman" w:hAnsi="Times New Roman" w:cs="Helvetica"/>
          <w:iCs/>
          <w:color w:val="000000"/>
          <w:szCs w:val="36"/>
        </w:rPr>
        <w:tab/>
        <w:t>1</w:t>
      </w:r>
      <w:r w:rsidR="00E63EF3">
        <w:rPr>
          <w:rFonts w:ascii="Times New Roman" w:hAnsi="Times New Roman" w:cs="Helvetica"/>
          <w:iCs/>
          <w:color w:val="000000"/>
          <w:szCs w:val="36"/>
        </w:rPr>
        <w:t xml:space="preserve"> (.2%)</w:t>
      </w:r>
      <w:r w:rsidR="0070039B">
        <w:rPr>
          <w:rFonts w:ascii="Times New Roman" w:hAnsi="Times New Roman" w:cs="Helvetica"/>
          <w:iCs/>
          <w:color w:val="000000"/>
          <w:szCs w:val="36"/>
        </w:rPr>
        <w:tab/>
      </w:r>
      <w:r w:rsidR="0070039B">
        <w:rPr>
          <w:rFonts w:ascii="Times New Roman" w:hAnsi="Times New Roman" w:cs="Helvetica"/>
          <w:iCs/>
          <w:color w:val="000000"/>
          <w:szCs w:val="36"/>
        </w:rPr>
        <w:tab/>
        <w:t>26</w:t>
      </w:r>
      <w:r w:rsidR="004F0D54">
        <w:rPr>
          <w:rFonts w:ascii="Times New Roman" w:hAnsi="Times New Roman" w:cs="Helvetica"/>
          <w:iCs/>
          <w:color w:val="000000"/>
          <w:szCs w:val="36"/>
        </w:rPr>
        <w:t xml:space="preserve"> (4.3%)</w:t>
      </w:r>
    </w:p>
    <w:p w:rsidR="003147F6" w:rsidRPr="000D5F78" w:rsidRDefault="0070039B" w:rsidP="0070039B">
      <w:pPr>
        <w:pBdr>
          <w:bottom w:val="single" w:sz="4" w:space="1" w:color="auto"/>
        </w:pBdr>
        <w:spacing w:line="480" w:lineRule="auto"/>
        <w:rPr>
          <w:rFonts w:ascii="Times New Roman" w:hAnsi="Times New Roman"/>
        </w:rPr>
      </w:pPr>
      <w:r>
        <w:rPr>
          <w:rFonts w:ascii="Times New Roman" w:hAnsi="Times New Roman"/>
        </w:rPr>
        <w:t>Total</w:t>
      </w:r>
      <w:r>
        <w:rPr>
          <w:rFonts w:ascii="Times New Roman" w:hAnsi="Times New Roman"/>
        </w:rPr>
        <w:tab/>
      </w:r>
      <w:r>
        <w:rPr>
          <w:rFonts w:ascii="Times New Roman" w:hAnsi="Times New Roman"/>
        </w:rPr>
        <w:tab/>
      </w:r>
      <w:r>
        <w:rPr>
          <w:rFonts w:ascii="Times New Roman" w:hAnsi="Times New Roman"/>
        </w:rPr>
        <w:tab/>
        <w:t>456</w:t>
      </w:r>
      <w:r w:rsidR="004F0D54">
        <w:rPr>
          <w:rFonts w:ascii="Times New Roman" w:hAnsi="Times New Roman"/>
        </w:rPr>
        <w:t xml:space="preserve"> (75.9%)</w:t>
      </w:r>
      <w:r w:rsidR="004F0D54">
        <w:rPr>
          <w:rFonts w:ascii="Times New Roman" w:hAnsi="Times New Roman"/>
        </w:rPr>
        <w:tab/>
      </w:r>
      <w:r>
        <w:rPr>
          <w:rFonts w:ascii="Times New Roman" w:hAnsi="Times New Roman"/>
        </w:rPr>
        <w:tab/>
        <w:t>128</w:t>
      </w:r>
      <w:r w:rsidR="004F0D54">
        <w:rPr>
          <w:rFonts w:ascii="Times New Roman" w:hAnsi="Times New Roman"/>
        </w:rPr>
        <w:t xml:space="preserve"> (21.3%)</w:t>
      </w:r>
      <w:r w:rsidR="004F0D54">
        <w:rPr>
          <w:rFonts w:ascii="Times New Roman" w:hAnsi="Times New Roman"/>
        </w:rPr>
        <w:tab/>
      </w:r>
      <w:r>
        <w:rPr>
          <w:rFonts w:ascii="Times New Roman" w:hAnsi="Times New Roman"/>
        </w:rPr>
        <w:tab/>
        <w:t>17</w:t>
      </w:r>
      <w:r w:rsidR="00E63EF3">
        <w:rPr>
          <w:rFonts w:ascii="Times New Roman" w:hAnsi="Times New Roman"/>
        </w:rPr>
        <w:t xml:space="preserve"> (2.8%)</w:t>
      </w:r>
      <w:r w:rsidR="00E63EF3">
        <w:rPr>
          <w:rFonts w:ascii="Times New Roman" w:hAnsi="Times New Roman"/>
        </w:rPr>
        <w:tab/>
        <w:t>601(100%)</w:t>
      </w:r>
    </w:p>
    <w:p w:rsidR="005438F1" w:rsidRDefault="005438F1" w:rsidP="003147F6">
      <w:pPr>
        <w:spacing w:line="480" w:lineRule="auto"/>
        <w:rPr>
          <w:rFonts w:ascii="Times New Roman" w:hAnsi="Times New Roman"/>
        </w:rPr>
      </w:pPr>
    </w:p>
    <w:p w:rsidR="005438F1" w:rsidRDefault="005438F1" w:rsidP="003147F6">
      <w:pPr>
        <w:spacing w:line="480" w:lineRule="auto"/>
        <w:rPr>
          <w:rFonts w:ascii="Times New Roman" w:hAnsi="Times New Roman"/>
        </w:rPr>
      </w:pPr>
    </w:p>
    <w:p w:rsidR="005438F1" w:rsidRDefault="005438F1" w:rsidP="003147F6">
      <w:pPr>
        <w:spacing w:line="480" w:lineRule="auto"/>
        <w:rPr>
          <w:rFonts w:ascii="Times New Roman" w:hAnsi="Times New Roman"/>
        </w:rPr>
      </w:pPr>
    </w:p>
    <w:p w:rsidR="00BA07C0" w:rsidRDefault="00BA07C0" w:rsidP="003147F6">
      <w:pPr>
        <w:spacing w:line="480" w:lineRule="auto"/>
        <w:rPr>
          <w:rFonts w:ascii="Times New Roman" w:hAnsi="Times New Roman"/>
        </w:rPr>
      </w:pPr>
    </w:p>
    <w:p w:rsidR="005438F1" w:rsidRDefault="005438F1" w:rsidP="003147F6">
      <w:pPr>
        <w:spacing w:line="480" w:lineRule="auto"/>
        <w:rPr>
          <w:rFonts w:ascii="Times New Roman" w:hAnsi="Times New Roman"/>
        </w:rPr>
      </w:pPr>
    </w:p>
    <w:p w:rsidR="005438F1" w:rsidRDefault="005438F1" w:rsidP="003147F6">
      <w:pPr>
        <w:spacing w:line="480" w:lineRule="auto"/>
        <w:rPr>
          <w:rFonts w:ascii="Times New Roman" w:hAnsi="Times New Roman"/>
        </w:rPr>
      </w:pPr>
    </w:p>
    <w:p w:rsidR="005438F1" w:rsidRDefault="005438F1" w:rsidP="003147F6">
      <w:pPr>
        <w:spacing w:line="480" w:lineRule="auto"/>
        <w:rPr>
          <w:rFonts w:ascii="Times New Roman" w:hAnsi="Times New Roman"/>
        </w:rPr>
      </w:pPr>
    </w:p>
    <w:p w:rsidR="005438F1" w:rsidRDefault="005438F1" w:rsidP="003147F6">
      <w:pPr>
        <w:spacing w:line="480" w:lineRule="auto"/>
        <w:rPr>
          <w:rFonts w:ascii="Times New Roman" w:hAnsi="Times New Roman"/>
        </w:rPr>
      </w:pPr>
    </w:p>
    <w:p w:rsidR="00F23EDB" w:rsidRDefault="005438F1" w:rsidP="003147F6">
      <w:pPr>
        <w:spacing w:line="480" w:lineRule="auto"/>
        <w:rPr>
          <w:rFonts w:ascii="Times New Roman" w:hAnsi="Times New Roman"/>
        </w:rPr>
      </w:pPr>
      <w:r>
        <w:rPr>
          <w:rFonts w:ascii="Times New Roman" w:hAnsi="Times New Roman"/>
        </w:rPr>
        <w:br w:type="page"/>
      </w:r>
      <w:r w:rsidR="00F23EDB">
        <w:rPr>
          <w:rFonts w:ascii="Times New Roman" w:hAnsi="Times New Roman"/>
        </w:rPr>
        <w:t>Table 2</w:t>
      </w:r>
    </w:p>
    <w:p w:rsidR="00571259" w:rsidRPr="00EC4CA6" w:rsidRDefault="00EC4CA6" w:rsidP="00571259">
      <w:pPr>
        <w:spacing w:line="480" w:lineRule="auto"/>
        <w:rPr>
          <w:rFonts w:ascii="Times New Roman" w:hAnsi="Times New Roman"/>
          <w:i/>
        </w:rPr>
      </w:pPr>
      <w:r>
        <w:rPr>
          <w:rFonts w:ascii="Times New Roman" w:hAnsi="Times New Roman"/>
          <w:i/>
        </w:rPr>
        <w:t xml:space="preserve">Multiple Regression Results: Participation in a First-Year Induction Program and Traditional Certification as </w:t>
      </w:r>
      <w:r w:rsidR="00571259" w:rsidRPr="00571259">
        <w:rPr>
          <w:rFonts w:ascii="Times New Roman" w:hAnsi="Times New Roman"/>
          <w:i/>
        </w:rPr>
        <w:t>Predictors of Classroom Readines</w:t>
      </w:r>
      <w:r w:rsidR="00571259">
        <w:rPr>
          <w:rFonts w:ascii="Times New Roman" w:hAnsi="Times New Roman"/>
          <w:i/>
        </w:rPr>
        <w:t>s</w:t>
      </w:r>
    </w:p>
    <w:p w:rsidR="00571259" w:rsidRPr="00571259" w:rsidRDefault="00571259" w:rsidP="00571259">
      <w:pPr>
        <w:pBdr>
          <w:top w:val="single" w:sz="4" w:space="1" w:color="auto"/>
        </w:pBdr>
        <w:spacing w:line="480" w:lineRule="auto"/>
        <w:rPr>
          <w:rFonts w:ascii="Times New Roman" w:hAnsi="Times New Roman"/>
          <w:i/>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AE15BD">
        <w:rPr>
          <w:rFonts w:ascii="Times New Roman" w:hAnsi="Times New Roman"/>
        </w:rPr>
        <w:tab/>
      </w:r>
      <w:r w:rsidR="006A7D32">
        <w:rPr>
          <w:rFonts w:ascii="Times New Roman" w:hAnsi="Times New Roman"/>
        </w:rPr>
        <w:t xml:space="preserve">Unique </w:t>
      </w:r>
      <w:r w:rsidR="00AE15BD">
        <w:rPr>
          <w:rFonts w:ascii="Times New Roman" w:hAnsi="Times New Roman"/>
        </w:rPr>
        <w:t xml:space="preserve">Var. </w:t>
      </w:r>
      <w:r>
        <w:rPr>
          <w:rFonts w:ascii="Times New Roman" w:hAnsi="Times New Roman"/>
        </w:rPr>
        <w:t xml:space="preserve"> </w:t>
      </w:r>
    </w:p>
    <w:p w:rsidR="00BA07C0" w:rsidRDefault="00571259" w:rsidP="00571259">
      <w:pPr>
        <w:pBdr>
          <w:bottom w:val="single" w:sz="4" w:space="1" w:color="auto"/>
        </w:pBdr>
        <w:spacing w:line="480" w:lineRule="auto"/>
        <w:rPr>
          <w:rFonts w:ascii="Times New Roman" w:hAnsi="Times New Roman"/>
        </w:rPr>
      </w:pPr>
      <w:r>
        <w:rPr>
          <w:rFonts w:ascii="Times New Roman" w:hAnsi="Times New Roman"/>
        </w:rPr>
        <w:t>Variable</w:t>
      </w:r>
      <w:r>
        <w:rPr>
          <w:rFonts w:ascii="Times New Roman" w:hAnsi="Times New Roman"/>
        </w:rPr>
        <w:tab/>
      </w:r>
      <w:r>
        <w:rPr>
          <w:rFonts w:ascii="Times New Roman" w:hAnsi="Times New Roman"/>
        </w:rPr>
        <w:tab/>
      </w:r>
      <w:r>
        <w:rPr>
          <w:rFonts w:ascii="Times New Roman" w:hAnsi="Times New Roman"/>
        </w:rPr>
        <w:tab/>
      </w:r>
      <w:r w:rsidR="00AE15BD" w:rsidRPr="00AE15BD">
        <w:rPr>
          <w:rFonts w:ascii="Times New Roman" w:hAnsi="Times New Roman"/>
          <w:i/>
        </w:rPr>
        <w:t>R</w:t>
      </w:r>
      <w:r w:rsidR="00AE15BD" w:rsidRPr="00AE15BD">
        <w:rPr>
          <w:rFonts w:ascii="Times New Roman" w:hAnsi="Times New Roman"/>
          <w:i/>
          <w:vertAlign w:val="superscript"/>
        </w:rPr>
        <w:t>2</w:t>
      </w:r>
      <w:r w:rsidR="00AE15BD">
        <w:rPr>
          <w:rFonts w:ascii="Times New Roman" w:hAnsi="Times New Roman"/>
        </w:rPr>
        <w:tab/>
      </w:r>
      <w:r w:rsidR="00AE15BD" w:rsidRPr="00AE15BD">
        <w:rPr>
          <w:rFonts w:ascii="Times New Roman" w:hAnsi="Times New Roman"/>
          <w:i/>
        </w:rPr>
        <w:t>R</w:t>
      </w:r>
      <w:r w:rsidR="00AE15BD" w:rsidRPr="00AE15BD">
        <w:rPr>
          <w:rFonts w:ascii="Times New Roman" w:hAnsi="Times New Roman"/>
          <w:i/>
          <w:vertAlign w:val="subscript"/>
        </w:rPr>
        <w:t>adj</w:t>
      </w:r>
      <w:r w:rsidR="00AE15BD" w:rsidRPr="00AE15BD">
        <w:rPr>
          <w:rFonts w:ascii="Times New Roman" w:hAnsi="Times New Roman"/>
          <w:i/>
          <w:vertAlign w:val="superscript"/>
        </w:rPr>
        <w:t>2</w:t>
      </w:r>
      <w:r w:rsidR="00AE15BD">
        <w:rPr>
          <w:rFonts w:ascii="Times New Roman" w:hAnsi="Times New Roman"/>
        </w:rPr>
        <w:tab/>
      </w:r>
      <w:r w:rsidR="006A7D32">
        <w:rPr>
          <w:rFonts w:ascii="Times New Roman" w:hAnsi="Times New Roman"/>
        </w:rPr>
        <w:tab/>
      </w:r>
      <w:r>
        <w:rPr>
          <w:rFonts w:ascii="Times New Roman" w:hAnsi="Times New Roman"/>
        </w:rPr>
        <w:sym w:font="Symbol" w:char="F062"/>
      </w:r>
      <w:r>
        <w:rPr>
          <w:rFonts w:ascii="Times New Roman" w:hAnsi="Times New Roman"/>
        </w:rPr>
        <w:tab/>
      </w:r>
      <w:r w:rsidR="00AE15BD">
        <w:rPr>
          <w:rFonts w:ascii="Times New Roman" w:hAnsi="Times New Roman"/>
        </w:rPr>
        <w:tab/>
      </w:r>
      <w:r w:rsidR="00AE15BD" w:rsidRPr="00AE15BD">
        <w:rPr>
          <w:rFonts w:ascii="Times New Roman" w:hAnsi="Times New Roman"/>
          <w:i/>
        </w:rPr>
        <w:t>p</w:t>
      </w:r>
      <w:r w:rsidRPr="00AE15BD">
        <w:rPr>
          <w:rFonts w:ascii="Times New Roman" w:hAnsi="Times New Roman"/>
          <w:i/>
        </w:rPr>
        <w:t xml:space="preserve"> </w:t>
      </w:r>
      <w:r>
        <w:rPr>
          <w:rFonts w:ascii="Times New Roman" w:hAnsi="Times New Roman"/>
        </w:rPr>
        <w:tab/>
      </w:r>
      <w:r w:rsidR="006A7D32">
        <w:rPr>
          <w:rFonts w:ascii="Times New Roman" w:hAnsi="Times New Roman"/>
        </w:rPr>
        <w:tab/>
        <w:t>Explained</w:t>
      </w:r>
    </w:p>
    <w:p w:rsidR="00571259" w:rsidRDefault="00571259" w:rsidP="003147F6">
      <w:pPr>
        <w:spacing w:line="480" w:lineRule="auto"/>
        <w:rPr>
          <w:rFonts w:ascii="Times New Roman" w:hAnsi="Times New Roman"/>
        </w:rPr>
      </w:pPr>
      <w:r>
        <w:rPr>
          <w:rFonts w:ascii="Times New Roman" w:hAnsi="Times New Roman"/>
        </w:rPr>
        <w:t>With Outliers Included</w:t>
      </w:r>
      <w:r w:rsidR="00AE15BD">
        <w:rPr>
          <w:rFonts w:ascii="Times New Roman" w:hAnsi="Times New Roman"/>
        </w:rPr>
        <w:tab/>
        <w:t>.021</w:t>
      </w:r>
      <w:r w:rsidR="00AE15BD">
        <w:rPr>
          <w:rFonts w:ascii="Times New Roman" w:hAnsi="Times New Roman"/>
        </w:rPr>
        <w:tab/>
        <w:t>.018</w:t>
      </w:r>
    </w:p>
    <w:p w:rsidR="00571259" w:rsidRDefault="00571259" w:rsidP="003147F6">
      <w:pPr>
        <w:spacing w:line="480" w:lineRule="auto"/>
        <w:rPr>
          <w:rFonts w:ascii="Times New Roman" w:hAnsi="Times New Roman"/>
        </w:rPr>
      </w:pPr>
      <w:r>
        <w:rPr>
          <w:rFonts w:ascii="Times New Roman" w:hAnsi="Times New Roman"/>
        </w:rPr>
        <w:t xml:space="preserve">   Induction Program</w:t>
      </w:r>
      <w:r w:rsidR="006A7D32">
        <w:rPr>
          <w:rFonts w:ascii="Times New Roman" w:hAnsi="Times New Roman"/>
        </w:rPr>
        <w:tab/>
      </w:r>
      <w:r w:rsidR="006A7D32">
        <w:rPr>
          <w:rFonts w:ascii="Times New Roman" w:hAnsi="Times New Roman"/>
        </w:rPr>
        <w:tab/>
      </w:r>
      <w:r w:rsidR="006A7D32">
        <w:rPr>
          <w:rFonts w:ascii="Times New Roman" w:hAnsi="Times New Roman"/>
        </w:rPr>
        <w:tab/>
      </w:r>
      <w:r w:rsidR="00AE15BD">
        <w:rPr>
          <w:rFonts w:ascii="Times New Roman" w:hAnsi="Times New Roman"/>
        </w:rPr>
        <w:tab/>
      </w:r>
      <w:r w:rsidR="00AE15BD">
        <w:rPr>
          <w:rFonts w:ascii="Times New Roman" w:hAnsi="Times New Roman"/>
        </w:rPr>
        <w:tab/>
        <w:t>-.102</w:t>
      </w:r>
      <w:r w:rsidR="00AE15BD">
        <w:rPr>
          <w:rFonts w:ascii="Times New Roman" w:hAnsi="Times New Roman"/>
        </w:rPr>
        <w:tab/>
      </w:r>
      <w:r w:rsidR="00AE15BD">
        <w:rPr>
          <w:rFonts w:ascii="Times New Roman" w:hAnsi="Times New Roman"/>
        </w:rPr>
        <w:tab/>
        <w:t>.012</w:t>
      </w:r>
      <w:r w:rsidR="00AE15BD">
        <w:rPr>
          <w:rFonts w:ascii="Times New Roman" w:hAnsi="Times New Roman"/>
        </w:rPr>
        <w:tab/>
      </w:r>
      <w:r w:rsidR="00AE15BD">
        <w:rPr>
          <w:rFonts w:ascii="Times New Roman" w:hAnsi="Times New Roman"/>
        </w:rPr>
        <w:tab/>
      </w:r>
      <w:r w:rsidR="006A7D32">
        <w:rPr>
          <w:rFonts w:ascii="Times New Roman" w:hAnsi="Times New Roman"/>
        </w:rPr>
        <w:t>1.04%</w:t>
      </w:r>
    </w:p>
    <w:p w:rsidR="005438F1" w:rsidRDefault="00571259" w:rsidP="003147F6">
      <w:pPr>
        <w:spacing w:line="480" w:lineRule="auto"/>
        <w:rPr>
          <w:rFonts w:ascii="Times New Roman" w:hAnsi="Times New Roman"/>
        </w:rPr>
      </w:pPr>
      <w:r>
        <w:rPr>
          <w:rFonts w:ascii="Times New Roman" w:hAnsi="Times New Roman"/>
        </w:rPr>
        <w:t xml:space="preserve">   Traditional Certification</w:t>
      </w:r>
      <w:r w:rsidR="006A7D32">
        <w:rPr>
          <w:rFonts w:ascii="Times New Roman" w:hAnsi="Times New Roman"/>
        </w:rPr>
        <w:tab/>
      </w:r>
      <w:r w:rsidR="006A7D32">
        <w:rPr>
          <w:rFonts w:ascii="Times New Roman" w:hAnsi="Times New Roman"/>
        </w:rPr>
        <w:tab/>
      </w:r>
      <w:r w:rsidR="00AE15BD">
        <w:rPr>
          <w:rFonts w:ascii="Times New Roman" w:hAnsi="Times New Roman"/>
        </w:rPr>
        <w:tab/>
      </w:r>
      <w:r w:rsidR="00AE15BD">
        <w:rPr>
          <w:rFonts w:ascii="Times New Roman" w:hAnsi="Times New Roman"/>
        </w:rPr>
        <w:tab/>
      </w:r>
      <w:r w:rsidR="00D74005">
        <w:rPr>
          <w:rFonts w:ascii="Times New Roman" w:hAnsi="Times New Roman"/>
        </w:rPr>
        <w:t>.101</w:t>
      </w:r>
      <w:r w:rsidR="00D74005">
        <w:rPr>
          <w:rFonts w:ascii="Times New Roman" w:hAnsi="Times New Roman"/>
        </w:rPr>
        <w:tab/>
      </w:r>
      <w:r w:rsidR="00D74005">
        <w:rPr>
          <w:rFonts w:ascii="Times New Roman" w:hAnsi="Times New Roman"/>
        </w:rPr>
        <w:tab/>
      </w:r>
      <w:r w:rsidR="00AE15BD">
        <w:rPr>
          <w:rFonts w:ascii="Times New Roman" w:hAnsi="Times New Roman"/>
        </w:rPr>
        <w:t>.012</w:t>
      </w:r>
      <w:r w:rsidR="00AE15BD">
        <w:rPr>
          <w:rFonts w:ascii="Times New Roman" w:hAnsi="Times New Roman"/>
        </w:rPr>
        <w:tab/>
      </w:r>
      <w:r w:rsidR="00AE15BD">
        <w:rPr>
          <w:rFonts w:ascii="Times New Roman" w:hAnsi="Times New Roman"/>
        </w:rPr>
        <w:tab/>
      </w:r>
      <w:r w:rsidR="00D74005">
        <w:rPr>
          <w:rFonts w:ascii="Times New Roman" w:hAnsi="Times New Roman"/>
        </w:rPr>
        <w:t>1.02%</w:t>
      </w:r>
    </w:p>
    <w:p w:rsidR="005438F1" w:rsidRDefault="00571259" w:rsidP="003147F6">
      <w:pPr>
        <w:spacing w:line="480" w:lineRule="auto"/>
        <w:rPr>
          <w:rFonts w:ascii="Times New Roman" w:hAnsi="Times New Roman"/>
        </w:rPr>
      </w:pPr>
      <w:r>
        <w:rPr>
          <w:rFonts w:ascii="Times New Roman" w:hAnsi="Times New Roman"/>
        </w:rPr>
        <w:t>Without Outliers Included</w:t>
      </w:r>
      <w:r w:rsidR="00AE15BD">
        <w:rPr>
          <w:rFonts w:ascii="Times New Roman" w:hAnsi="Times New Roman"/>
        </w:rPr>
        <w:tab/>
        <w:t>.022</w:t>
      </w:r>
      <w:r w:rsidR="00AE15BD">
        <w:rPr>
          <w:rFonts w:ascii="Times New Roman" w:hAnsi="Times New Roman"/>
        </w:rPr>
        <w:tab/>
        <w:t>.019</w:t>
      </w:r>
    </w:p>
    <w:p w:rsidR="00571259" w:rsidRDefault="00571259" w:rsidP="006A7D32">
      <w:pPr>
        <w:tabs>
          <w:tab w:val="left" w:pos="2695"/>
        </w:tabs>
        <w:spacing w:line="480" w:lineRule="auto"/>
        <w:rPr>
          <w:rFonts w:ascii="Times New Roman" w:hAnsi="Times New Roman"/>
        </w:rPr>
      </w:pPr>
      <w:r>
        <w:rPr>
          <w:rFonts w:ascii="Times New Roman" w:hAnsi="Times New Roman"/>
        </w:rPr>
        <w:t xml:space="preserve">   Induction Program</w:t>
      </w:r>
      <w:r w:rsidR="006A7D32">
        <w:rPr>
          <w:rFonts w:ascii="Times New Roman" w:hAnsi="Times New Roman"/>
        </w:rPr>
        <w:tab/>
      </w:r>
      <w:r w:rsidR="006A7D32">
        <w:rPr>
          <w:rFonts w:ascii="Times New Roman" w:hAnsi="Times New Roman"/>
        </w:rPr>
        <w:tab/>
      </w:r>
      <w:r w:rsidR="006A7D32">
        <w:rPr>
          <w:rFonts w:ascii="Times New Roman" w:hAnsi="Times New Roman"/>
        </w:rPr>
        <w:tab/>
      </w:r>
      <w:r w:rsidR="00AE15BD">
        <w:rPr>
          <w:rFonts w:ascii="Times New Roman" w:hAnsi="Times New Roman"/>
        </w:rPr>
        <w:tab/>
      </w:r>
      <w:r w:rsidR="00AE15BD">
        <w:rPr>
          <w:rFonts w:ascii="Times New Roman" w:hAnsi="Times New Roman"/>
        </w:rPr>
        <w:tab/>
      </w:r>
      <w:r w:rsidR="00D86C92">
        <w:rPr>
          <w:rFonts w:ascii="Times New Roman" w:hAnsi="Times New Roman"/>
        </w:rPr>
        <w:t>-.103</w:t>
      </w:r>
      <w:r w:rsidR="00D86C92">
        <w:rPr>
          <w:rFonts w:ascii="Times New Roman" w:hAnsi="Times New Roman"/>
        </w:rPr>
        <w:tab/>
      </w:r>
      <w:r w:rsidR="00D86C92">
        <w:rPr>
          <w:rFonts w:ascii="Times New Roman" w:hAnsi="Times New Roman"/>
        </w:rPr>
        <w:tab/>
        <w:t>.012</w:t>
      </w:r>
      <w:r w:rsidR="00D86C92">
        <w:rPr>
          <w:rFonts w:ascii="Times New Roman" w:hAnsi="Times New Roman"/>
        </w:rPr>
        <w:tab/>
      </w:r>
      <w:r w:rsidR="00D86C92">
        <w:rPr>
          <w:rFonts w:ascii="Times New Roman" w:hAnsi="Times New Roman"/>
        </w:rPr>
        <w:tab/>
      </w:r>
      <w:r w:rsidR="006A7D32">
        <w:rPr>
          <w:rFonts w:ascii="Times New Roman" w:hAnsi="Times New Roman"/>
        </w:rPr>
        <w:t>1.04%</w:t>
      </w:r>
    </w:p>
    <w:p w:rsidR="005438F1" w:rsidRDefault="00571259" w:rsidP="00AE15BD">
      <w:pPr>
        <w:pBdr>
          <w:bottom w:val="single" w:sz="4" w:space="1" w:color="auto"/>
        </w:pBdr>
        <w:spacing w:line="480" w:lineRule="auto"/>
        <w:rPr>
          <w:rFonts w:ascii="Times New Roman" w:hAnsi="Times New Roman"/>
        </w:rPr>
      </w:pPr>
      <w:r>
        <w:rPr>
          <w:rFonts w:ascii="Times New Roman" w:hAnsi="Times New Roman"/>
        </w:rPr>
        <w:t xml:space="preserve">   Traditional Certification</w:t>
      </w:r>
      <w:r w:rsidR="006A7D32">
        <w:rPr>
          <w:rFonts w:ascii="Times New Roman" w:hAnsi="Times New Roman"/>
        </w:rPr>
        <w:tab/>
      </w:r>
      <w:r w:rsidR="006A7D32">
        <w:rPr>
          <w:rFonts w:ascii="Times New Roman" w:hAnsi="Times New Roman"/>
        </w:rPr>
        <w:tab/>
      </w:r>
      <w:r w:rsidR="00AE15BD">
        <w:rPr>
          <w:rFonts w:ascii="Times New Roman" w:hAnsi="Times New Roman"/>
        </w:rPr>
        <w:tab/>
      </w:r>
      <w:r w:rsidR="00AE15BD">
        <w:rPr>
          <w:rFonts w:ascii="Times New Roman" w:hAnsi="Times New Roman"/>
        </w:rPr>
        <w:tab/>
      </w:r>
      <w:r w:rsidR="00D86C92">
        <w:rPr>
          <w:rFonts w:ascii="Times New Roman" w:hAnsi="Times New Roman"/>
        </w:rPr>
        <w:t>.109</w:t>
      </w:r>
      <w:r w:rsidR="00D86C92">
        <w:rPr>
          <w:rFonts w:ascii="Times New Roman" w:hAnsi="Times New Roman"/>
        </w:rPr>
        <w:tab/>
      </w:r>
      <w:r w:rsidR="00D86C92">
        <w:rPr>
          <w:rFonts w:ascii="Times New Roman" w:hAnsi="Times New Roman"/>
        </w:rPr>
        <w:tab/>
        <w:t>.008</w:t>
      </w:r>
      <w:r w:rsidR="00D86C92">
        <w:rPr>
          <w:rFonts w:ascii="Times New Roman" w:hAnsi="Times New Roman"/>
        </w:rPr>
        <w:tab/>
      </w:r>
      <w:r w:rsidR="00D86C92">
        <w:rPr>
          <w:rFonts w:ascii="Times New Roman" w:hAnsi="Times New Roman"/>
        </w:rPr>
        <w:tab/>
      </w:r>
      <w:r w:rsidR="006A7D32">
        <w:rPr>
          <w:rFonts w:ascii="Times New Roman" w:hAnsi="Times New Roman"/>
        </w:rPr>
        <w:t>1.19%</w:t>
      </w:r>
    </w:p>
    <w:p w:rsidR="005438F1" w:rsidRDefault="005438F1" w:rsidP="003147F6">
      <w:pPr>
        <w:spacing w:line="480" w:lineRule="auto"/>
        <w:rPr>
          <w:rFonts w:ascii="Times New Roman" w:hAnsi="Times New Roman"/>
        </w:rPr>
      </w:pPr>
    </w:p>
    <w:p w:rsidR="00F23EDB" w:rsidRDefault="005438F1" w:rsidP="003147F6">
      <w:pPr>
        <w:spacing w:line="480" w:lineRule="auto"/>
        <w:rPr>
          <w:rFonts w:ascii="Times New Roman" w:hAnsi="Times New Roman"/>
        </w:rPr>
      </w:pPr>
      <w:r>
        <w:rPr>
          <w:rFonts w:ascii="Times New Roman" w:hAnsi="Times New Roman"/>
        </w:rPr>
        <w:br w:type="page"/>
      </w:r>
      <w:r w:rsidR="00BA07C0">
        <w:rPr>
          <w:rFonts w:ascii="Times New Roman" w:hAnsi="Times New Roman"/>
        </w:rPr>
        <w:t xml:space="preserve">Table </w:t>
      </w:r>
      <w:r w:rsidR="00F23EDB">
        <w:rPr>
          <w:rFonts w:ascii="Times New Roman" w:hAnsi="Times New Roman"/>
        </w:rPr>
        <w:t>3</w:t>
      </w:r>
    </w:p>
    <w:p w:rsidR="001031F7" w:rsidRDefault="00D86C92" w:rsidP="003147F6">
      <w:pPr>
        <w:spacing w:line="480" w:lineRule="auto"/>
        <w:rPr>
          <w:rFonts w:ascii="Times New Roman" w:hAnsi="Times New Roman"/>
          <w:i/>
        </w:rPr>
      </w:pPr>
      <w:r w:rsidRPr="00236906">
        <w:rPr>
          <w:rFonts w:ascii="Times New Roman" w:hAnsi="Times New Roman"/>
          <w:i/>
        </w:rPr>
        <w:t>Analysis of Covariance:  Differences in Classroom Readiness by Certification Type, Controlling for Age</w:t>
      </w:r>
    </w:p>
    <w:p w:rsidR="00236906" w:rsidRPr="00D86EF0" w:rsidRDefault="00EC4CA6" w:rsidP="00EB0634">
      <w:pPr>
        <w:pBdr>
          <w:top w:val="single" w:sz="4" w:space="1" w:color="auto"/>
        </w:pBdr>
        <w:spacing w:line="480" w:lineRule="auto"/>
        <w:rPr>
          <w:rFonts w:ascii="Times New Roman" w:hAnsi="Times New Roman"/>
        </w:rPr>
      </w:pPr>
      <w:r w:rsidRPr="00EC4CA6">
        <w:rPr>
          <w:rFonts w:ascii="Times New Roman" w:hAnsi="Times New Roman"/>
        </w:rPr>
        <w:t>Certification</w:t>
      </w:r>
      <w:r>
        <w:rPr>
          <w:rFonts w:ascii="Times New Roman" w:hAnsi="Times New Roman"/>
          <w:i/>
        </w:rPr>
        <w:tab/>
      </w:r>
      <w:r w:rsidR="0050521D" w:rsidRPr="0050521D">
        <w:rPr>
          <w:rFonts w:ascii="Times New Roman" w:hAnsi="Times New Roman"/>
          <w:i/>
        </w:rPr>
        <w:tab/>
      </w:r>
      <w:r w:rsidR="00D86EF0" w:rsidRPr="00D86EF0">
        <w:rPr>
          <w:rFonts w:ascii="Times New Roman" w:hAnsi="Times New Roman"/>
          <w:u w:val="single"/>
        </w:rPr>
        <w:t>Omnibus Test</w:t>
      </w:r>
      <w:r w:rsidR="00D86EF0" w:rsidRPr="00D86EF0">
        <w:rPr>
          <w:rFonts w:ascii="Times New Roman" w:hAnsi="Times New Roman"/>
          <w:u w:val="single"/>
        </w:rPr>
        <w:tab/>
      </w:r>
      <w:r w:rsidR="00D86EF0" w:rsidRPr="00D86EF0">
        <w:rPr>
          <w:rFonts w:ascii="Times New Roman" w:hAnsi="Times New Roman"/>
          <w:u w:val="single"/>
        </w:rPr>
        <w:tab/>
      </w:r>
      <w:r w:rsidR="00D86EF0" w:rsidRPr="00D86EF0">
        <w:rPr>
          <w:rFonts w:ascii="Times New Roman" w:hAnsi="Times New Roman"/>
          <w:u w:val="single"/>
        </w:rPr>
        <w:tab/>
      </w:r>
      <w:r w:rsidR="00D86EF0" w:rsidRPr="00D86EF0">
        <w:rPr>
          <w:rFonts w:ascii="Times New Roman" w:hAnsi="Times New Roman"/>
          <w:u w:val="single"/>
        </w:rPr>
        <w:tab/>
      </w:r>
      <w:r w:rsidR="00D86EF0" w:rsidRPr="00D86EF0">
        <w:rPr>
          <w:rFonts w:ascii="Times New Roman" w:hAnsi="Times New Roman"/>
        </w:rPr>
        <w:tab/>
      </w:r>
      <w:r w:rsidR="00D86EF0" w:rsidRPr="00D86EF0">
        <w:rPr>
          <w:rFonts w:ascii="Times New Roman" w:hAnsi="Times New Roman"/>
          <w:u w:val="single"/>
        </w:rPr>
        <w:t>Post-hoc Comparisons</w:t>
      </w:r>
      <w:r w:rsidR="00D86EF0" w:rsidRPr="00D86EF0">
        <w:rPr>
          <w:rFonts w:ascii="Times New Roman" w:hAnsi="Times New Roman"/>
          <w:u w:val="single"/>
        </w:rPr>
        <w:tab/>
      </w:r>
    </w:p>
    <w:p w:rsidR="001031F7" w:rsidRDefault="00EC4CA6" w:rsidP="00EB0634">
      <w:pPr>
        <w:pBdr>
          <w:bottom w:val="single" w:sz="4" w:space="1" w:color="auto"/>
        </w:pBdr>
        <w:spacing w:line="480" w:lineRule="auto"/>
        <w:rPr>
          <w:rFonts w:ascii="Times New Roman" w:hAnsi="Times New Roman"/>
        </w:rPr>
      </w:pPr>
      <w:r>
        <w:rPr>
          <w:rFonts w:ascii="Times New Roman" w:hAnsi="Times New Roman"/>
        </w:rPr>
        <w:t>Type</w:t>
      </w:r>
      <w:r w:rsidR="00241C06">
        <w:rPr>
          <w:rFonts w:ascii="Times New Roman" w:hAnsi="Times New Roman"/>
        </w:rPr>
        <w:tab/>
      </w:r>
      <w:r w:rsidR="001031F7">
        <w:rPr>
          <w:rFonts w:ascii="Times New Roman" w:hAnsi="Times New Roman"/>
        </w:rPr>
        <w:tab/>
      </w:r>
      <w:r w:rsidR="0050521D">
        <w:rPr>
          <w:rFonts w:ascii="Times New Roman" w:hAnsi="Times New Roman"/>
        </w:rPr>
        <w:tab/>
      </w:r>
      <w:r w:rsidR="001031F7" w:rsidRPr="00EB0634">
        <w:rPr>
          <w:rFonts w:ascii="Times New Roman" w:hAnsi="Times New Roman"/>
          <w:i/>
        </w:rPr>
        <w:t xml:space="preserve">n </w:t>
      </w:r>
      <w:r w:rsidR="001031F7">
        <w:rPr>
          <w:rFonts w:ascii="Times New Roman" w:hAnsi="Times New Roman"/>
        </w:rPr>
        <w:tab/>
      </w:r>
      <w:r w:rsidR="001031F7" w:rsidRPr="00EB0634">
        <w:rPr>
          <w:rFonts w:ascii="Times New Roman" w:hAnsi="Times New Roman"/>
          <w:i/>
        </w:rPr>
        <w:t>M</w:t>
      </w:r>
      <w:r w:rsidR="00D86EF0" w:rsidRPr="00EB0634">
        <w:rPr>
          <w:rFonts w:ascii="Times New Roman" w:hAnsi="Times New Roman"/>
          <w:i/>
        </w:rPr>
        <w:t xml:space="preserve"> (SD)      </w:t>
      </w:r>
      <w:r w:rsidR="0050521D" w:rsidRPr="00EB0634">
        <w:rPr>
          <w:rFonts w:ascii="Times New Roman" w:hAnsi="Times New Roman"/>
          <w:i/>
        </w:rPr>
        <w:tab/>
      </w:r>
      <w:r w:rsidR="001031F7" w:rsidRPr="00EB0634">
        <w:rPr>
          <w:rFonts w:ascii="Times New Roman" w:hAnsi="Times New Roman"/>
          <w:i/>
        </w:rPr>
        <w:t>Adj. M</w:t>
      </w:r>
      <w:r w:rsidR="0050521D" w:rsidRPr="00EB0634">
        <w:rPr>
          <w:rFonts w:ascii="Times New Roman" w:hAnsi="Times New Roman"/>
          <w:i/>
        </w:rPr>
        <w:t xml:space="preserve"> (SE</w:t>
      </w:r>
      <w:r w:rsidR="00D86EF0" w:rsidRPr="00EB0634">
        <w:rPr>
          <w:rFonts w:ascii="Times New Roman" w:hAnsi="Times New Roman"/>
          <w:i/>
        </w:rPr>
        <w:t xml:space="preserve">) </w:t>
      </w:r>
      <w:r w:rsidR="00D86EF0" w:rsidRPr="00EB0634">
        <w:rPr>
          <w:rFonts w:ascii="Times New Roman" w:hAnsi="Times New Roman"/>
          <w:i/>
        </w:rPr>
        <w:tab/>
      </w:r>
      <w:r w:rsidR="001031F7" w:rsidRPr="00EB0634">
        <w:rPr>
          <w:rFonts w:ascii="Times New Roman" w:hAnsi="Times New Roman"/>
          <w:i/>
        </w:rPr>
        <w:tab/>
      </w:r>
      <w:r w:rsidR="00EB0634" w:rsidRPr="00EB0634">
        <w:rPr>
          <w:rFonts w:ascii="Times New Roman" w:hAnsi="Times New Roman"/>
          <w:i/>
        </w:rPr>
        <w:t>M</w:t>
      </w:r>
      <w:r w:rsidR="00EB0634" w:rsidRPr="00EB0634">
        <w:rPr>
          <w:rFonts w:ascii="Times New Roman" w:hAnsi="Times New Roman"/>
          <w:i/>
          <w:vertAlign w:val="subscript"/>
        </w:rPr>
        <w:t>dif</w:t>
      </w:r>
      <w:r w:rsidR="00EB0634" w:rsidRPr="00EB0634">
        <w:rPr>
          <w:rFonts w:ascii="Times New Roman" w:hAnsi="Times New Roman"/>
          <w:i/>
        </w:rPr>
        <w:tab/>
        <w:t xml:space="preserve">   p</w:t>
      </w:r>
      <w:r w:rsidR="00EB0634" w:rsidRPr="00EB0634">
        <w:rPr>
          <w:rFonts w:ascii="Times New Roman" w:hAnsi="Times New Roman"/>
          <w:i/>
        </w:rPr>
        <w:tab/>
        <w:t>Cohen’s d</w:t>
      </w:r>
    </w:p>
    <w:p w:rsidR="00D86EF0" w:rsidRDefault="00D86EF0" w:rsidP="003147F6">
      <w:pPr>
        <w:spacing w:line="480" w:lineRule="auto"/>
        <w:rPr>
          <w:rFonts w:ascii="Times New Roman" w:hAnsi="Times New Roman"/>
        </w:rPr>
      </w:pPr>
      <w:r>
        <w:rPr>
          <w:rFonts w:ascii="Times New Roman" w:hAnsi="Times New Roman"/>
        </w:rPr>
        <w:t>Traditional</w:t>
      </w:r>
      <w:r w:rsidR="0050521D">
        <w:rPr>
          <w:rFonts w:ascii="Times New Roman" w:hAnsi="Times New Roman"/>
        </w:rPr>
        <w:tab/>
      </w:r>
      <w:r w:rsidR="0050521D">
        <w:rPr>
          <w:rFonts w:ascii="Times New Roman" w:hAnsi="Times New Roman"/>
        </w:rPr>
        <w:tab/>
        <w:t>456</w:t>
      </w:r>
      <w:r w:rsidR="0050521D">
        <w:rPr>
          <w:rFonts w:ascii="Times New Roman" w:hAnsi="Times New Roman"/>
        </w:rPr>
        <w:tab/>
        <w:t>2.85 (.57)</w:t>
      </w:r>
      <w:r w:rsidR="0050521D">
        <w:rPr>
          <w:rFonts w:ascii="Times New Roman" w:hAnsi="Times New Roman"/>
        </w:rPr>
        <w:tab/>
        <w:t>2.853 (.027)</w:t>
      </w:r>
    </w:p>
    <w:p w:rsidR="00D86EF0" w:rsidRDefault="00D86EF0" w:rsidP="003147F6">
      <w:pPr>
        <w:spacing w:line="480" w:lineRule="auto"/>
        <w:rPr>
          <w:rFonts w:ascii="Times New Roman" w:hAnsi="Times New Roman"/>
        </w:rPr>
      </w:pPr>
      <w:r>
        <w:rPr>
          <w:rFonts w:ascii="Times New Roman" w:hAnsi="Times New Roman"/>
        </w:rPr>
        <w:t>Provisional</w:t>
      </w:r>
      <w:r w:rsidR="0050521D">
        <w:rPr>
          <w:rFonts w:ascii="Times New Roman" w:hAnsi="Times New Roman"/>
        </w:rPr>
        <w:tab/>
      </w:r>
      <w:r w:rsidR="0050521D">
        <w:rPr>
          <w:rFonts w:ascii="Times New Roman" w:hAnsi="Times New Roman"/>
        </w:rPr>
        <w:tab/>
        <w:t>128</w:t>
      </w:r>
      <w:r w:rsidR="0050521D">
        <w:rPr>
          <w:rFonts w:ascii="Times New Roman" w:hAnsi="Times New Roman"/>
        </w:rPr>
        <w:tab/>
        <w:t>2.73 (.59)</w:t>
      </w:r>
      <w:r w:rsidR="0050521D">
        <w:rPr>
          <w:rFonts w:ascii="Times New Roman" w:hAnsi="Times New Roman"/>
        </w:rPr>
        <w:tab/>
        <w:t>2.732 (.052)</w:t>
      </w:r>
    </w:p>
    <w:p w:rsidR="001031F7" w:rsidRDefault="00D86EF0" w:rsidP="003147F6">
      <w:pPr>
        <w:spacing w:line="480" w:lineRule="auto"/>
        <w:rPr>
          <w:rFonts w:ascii="Times New Roman" w:hAnsi="Times New Roman"/>
        </w:rPr>
      </w:pPr>
      <w:r>
        <w:rPr>
          <w:rFonts w:ascii="Times New Roman" w:hAnsi="Times New Roman"/>
        </w:rPr>
        <w:t>Emergency</w:t>
      </w:r>
      <w:r w:rsidR="0050521D">
        <w:rPr>
          <w:rFonts w:ascii="Times New Roman" w:hAnsi="Times New Roman"/>
        </w:rPr>
        <w:tab/>
      </w:r>
      <w:r w:rsidR="0050521D">
        <w:rPr>
          <w:rFonts w:ascii="Times New Roman" w:hAnsi="Times New Roman"/>
        </w:rPr>
        <w:tab/>
        <w:t>17</w:t>
      </w:r>
      <w:r w:rsidR="0050521D">
        <w:rPr>
          <w:rFonts w:ascii="Times New Roman" w:hAnsi="Times New Roman"/>
        </w:rPr>
        <w:tab/>
        <w:t>2.56 (.91)</w:t>
      </w:r>
      <w:r w:rsidR="0050521D">
        <w:rPr>
          <w:rFonts w:ascii="Times New Roman" w:hAnsi="Times New Roman"/>
        </w:rPr>
        <w:tab/>
        <w:t>2.576 (.142)</w:t>
      </w:r>
    </w:p>
    <w:p w:rsidR="00EB0634" w:rsidRDefault="00EB0634" w:rsidP="003147F6">
      <w:pPr>
        <w:spacing w:line="480" w:lineRule="auto"/>
        <w:rPr>
          <w:rFonts w:ascii="Times New Roman" w:hAnsi="Times New Roman"/>
        </w:rPr>
      </w:pPr>
      <w:r>
        <w:rPr>
          <w:rFonts w:ascii="Times New Roman" w:hAnsi="Times New Roman"/>
        </w:rPr>
        <w:t>Trad. vs. Prov.</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.121</w:t>
      </w:r>
      <w:r>
        <w:rPr>
          <w:rFonts w:ascii="Times New Roman" w:hAnsi="Times New Roman"/>
        </w:rPr>
        <w:tab/>
        <w:t>.040</w:t>
      </w:r>
      <w:r w:rsidR="00EB7DAB">
        <w:rPr>
          <w:rFonts w:ascii="Times New Roman" w:hAnsi="Times New Roman"/>
        </w:rPr>
        <w:tab/>
        <w:t xml:space="preserve">   .206</w:t>
      </w:r>
    </w:p>
    <w:p w:rsidR="00EB0634" w:rsidRDefault="00EB0634" w:rsidP="003147F6">
      <w:pPr>
        <w:spacing w:line="480" w:lineRule="auto"/>
        <w:rPr>
          <w:rFonts w:ascii="Times New Roman" w:hAnsi="Times New Roman"/>
        </w:rPr>
      </w:pPr>
      <w:r>
        <w:rPr>
          <w:rFonts w:ascii="Times New Roman" w:hAnsi="Times New Roman"/>
        </w:rPr>
        <w:t>Trad. vs. Em.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.277</w:t>
      </w:r>
      <w:r>
        <w:rPr>
          <w:rFonts w:ascii="Times New Roman" w:hAnsi="Times New Roman"/>
        </w:rPr>
        <w:tab/>
        <w:t>.056</w:t>
      </w:r>
      <w:r w:rsidR="00EB7DAB">
        <w:rPr>
          <w:rFonts w:ascii="Times New Roman" w:hAnsi="Times New Roman"/>
        </w:rPr>
        <w:tab/>
        <w:t xml:space="preserve">   .473</w:t>
      </w:r>
    </w:p>
    <w:p w:rsidR="00EC4CA6" w:rsidRPr="003147F6" w:rsidRDefault="00EB0634" w:rsidP="00EC4CA6">
      <w:pPr>
        <w:pBdr>
          <w:bottom w:val="single" w:sz="4" w:space="1" w:color="auto"/>
        </w:pBdr>
        <w:spacing w:line="480" w:lineRule="auto"/>
        <w:rPr>
          <w:rFonts w:ascii="Times New Roman" w:hAnsi="Times New Roman"/>
        </w:rPr>
      </w:pPr>
      <w:r>
        <w:rPr>
          <w:rFonts w:ascii="Times New Roman" w:hAnsi="Times New Roman"/>
        </w:rPr>
        <w:t>Prov. vs. Em.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.156</w:t>
      </w:r>
      <w:r>
        <w:rPr>
          <w:rFonts w:ascii="Times New Roman" w:hAnsi="Times New Roman"/>
        </w:rPr>
        <w:tab/>
        <w:t>.302</w:t>
      </w:r>
      <w:r w:rsidR="00EB7DAB">
        <w:rPr>
          <w:rFonts w:ascii="Times New Roman" w:hAnsi="Times New Roman"/>
        </w:rPr>
        <w:tab/>
        <w:t xml:space="preserve">   .455</w:t>
      </w:r>
    </w:p>
    <w:p w:rsidR="00B04FF1" w:rsidRPr="003147F6" w:rsidRDefault="00B04FF1" w:rsidP="003147F6">
      <w:pPr>
        <w:spacing w:line="480" w:lineRule="auto"/>
        <w:rPr>
          <w:rFonts w:ascii="Times New Roman" w:hAnsi="Times New Roman"/>
        </w:rPr>
      </w:pPr>
    </w:p>
    <w:sectPr w:rsidR="00B04FF1" w:rsidRPr="003147F6" w:rsidSect="003147F6">
      <w:headerReference w:type="even" r:id="rId5"/>
      <w:headerReference w:type="default" r:id="rId6"/>
      <w:headerReference w:type="first" r:id="rId7"/>
      <w:pgSz w:w="12240" w:h="15840"/>
      <w:pgMar w:top="1440" w:right="1440" w:bottom="1440" w:left="1440" w:gutter="0"/>
      <w:titlePg/>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CA6" w:rsidRDefault="00D76445" w:rsidP="00B04FF1">
    <w:pPr>
      <w:pStyle w:val="Header"/>
      <w:framePr w:wrap="around" w:vAnchor="text" w:hAnchor="margin" w:xAlign="right" w:y="1"/>
      <w:rPr>
        <w:rStyle w:val="PageNumber"/>
      </w:rPr>
    </w:pPr>
    <w:r>
      <w:rPr>
        <w:rStyle w:val="PageNumber"/>
      </w:rPr>
      <w:fldChar w:fldCharType="begin"/>
    </w:r>
    <w:r w:rsidR="00EC4CA6">
      <w:rPr>
        <w:rStyle w:val="PageNumber"/>
      </w:rPr>
      <w:instrText xml:space="preserve">PAGE  </w:instrText>
    </w:r>
    <w:r>
      <w:rPr>
        <w:rStyle w:val="PageNumber"/>
      </w:rPr>
      <w:fldChar w:fldCharType="end"/>
    </w:r>
  </w:p>
  <w:p w:rsidR="00EC4CA6" w:rsidRDefault="00EC4CA6" w:rsidP="003147F6">
    <w:pPr>
      <w:pStyle w:val="Header"/>
      <w:ind w:right="360"/>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CA6" w:rsidRPr="003147F6" w:rsidRDefault="00D76445" w:rsidP="00B04FF1">
    <w:pPr>
      <w:pStyle w:val="Header"/>
      <w:framePr w:wrap="around" w:vAnchor="text" w:hAnchor="margin" w:xAlign="right" w:y="1"/>
      <w:rPr>
        <w:rStyle w:val="PageNumber"/>
      </w:rPr>
    </w:pPr>
    <w:r w:rsidRPr="003147F6">
      <w:rPr>
        <w:rStyle w:val="PageNumber"/>
        <w:rFonts w:ascii="Times New Roman" w:hAnsi="Times New Roman"/>
      </w:rPr>
      <w:fldChar w:fldCharType="begin"/>
    </w:r>
    <w:r w:rsidR="00EC4CA6" w:rsidRPr="003147F6">
      <w:rPr>
        <w:rStyle w:val="PageNumber"/>
        <w:rFonts w:ascii="Times New Roman" w:hAnsi="Times New Roman"/>
      </w:rPr>
      <w:instrText xml:space="preserve">PAGE  </w:instrText>
    </w:r>
    <w:r w:rsidRPr="003147F6">
      <w:rPr>
        <w:rStyle w:val="PageNumber"/>
        <w:rFonts w:ascii="Times New Roman" w:hAnsi="Times New Roman"/>
      </w:rPr>
      <w:fldChar w:fldCharType="separate"/>
    </w:r>
    <w:r w:rsidR="00353CB4">
      <w:rPr>
        <w:rStyle w:val="PageNumber"/>
        <w:rFonts w:ascii="Times New Roman" w:hAnsi="Times New Roman"/>
        <w:noProof/>
      </w:rPr>
      <w:t>2</w:t>
    </w:r>
    <w:r w:rsidRPr="003147F6">
      <w:rPr>
        <w:rStyle w:val="PageNumber"/>
        <w:rFonts w:ascii="Times New Roman" w:hAnsi="Times New Roman"/>
      </w:rPr>
      <w:fldChar w:fldCharType="end"/>
    </w:r>
  </w:p>
  <w:p w:rsidR="00EC4CA6" w:rsidRPr="003147F6" w:rsidRDefault="00EC4CA6" w:rsidP="003147F6">
    <w:pPr>
      <w:spacing w:line="480" w:lineRule="auto"/>
      <w:ind w:right="360"/>
      <w:rPr>
        <w:rFonts w:ascii="Times New Roman" w:hAnsi="Times New Roman"/>
      </w:rPr>
    </w:pPr>
    <w:r w:rsidRPr="003147F6">
      <w:rPr>
        <w:rFonts w:ascii="Times New Roman" w:hAnsi="Times New Roman"/>
      </w:rPr>
      <w:t>NOVICE SPECIAL ED TEACHERS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CA6" w:rsidRPr="003147F6" w:rsidRDefault="00D76445" w:rsidP="00B04FF1">
    <w:pPr>
      <w:pStyle w:val="Header"/>
      <w:framePr w:wrap="around" w:vAnchor="text" w:hAnchor="margin" w:xAlign="right" w:y="1"/>
      <w:rPr>
        <w:rStyle w:val="PageNumber"/>
      </w:rPr>
    </w:pPr>
    <w:r w:rsidRPr="003147F6">
      <w:rPr>
        <w:rStyle w:val="PageNumber"/>
        <w:rFonts w:ascii="Times New Roman" w:hAnsi="Times New Roman"/>
      </w:rPr>
      <w:fldChar w:fldCharType="begin"/>
    </w:r>
    <w:r w:rsidR="00EC4CA6" w:rsidRPr="003147F6">
      <w:rPr>
        <w:rStyle w:val="PageNumber"/>
        <w:rFonts w:ascii="Times New Roman" w:hAnsi="Times New Roman"/>
      </w:rPr>
      <w:instrText xml:space="preserve">PAGE  </w:instrText>
    </w:r>
    <w:r w:rsidRPr="003147F6">
      <w:rPr>
        <w:rStyle w:val="PageNumber"/>
        <w:rFonts w:ascii="Times New Roman" w:hAnsi="Times New Roman"/>
      </w:rPr>
      <w:fldChar w:fldCharType="separate"/>
    </w:r>
    <w:r w:rsidR="00353CB4">
      <w:rPr>
        <w:rStyle w:val="PageNumber"/>
        <w:rFonts w:ascii="Times New Roman" w:hAnsi="Times New Roman"/>
        <w:noProof/>
      </w:rPr>
      <w:t>1</w:t>
    </w:r>
    <w:r w:rsidRPr="003147F6">
      <w:rPr>
        <w:rStyle w:val="PageNumber"/>
        <w:rFonts w:ascii="Times New Roman" w:hAnsi="Times New Roman"/>
      </w:rPr>
      <w:fldChar w:fldCharType="end"/>
    </w:r>
  </w:p>
  <w:p w:rsidR="00EC4CA6" w:rsidRPr="003147F6" w:rsidRDefault="00EC4CA6" w:rsidP="003147F6">
    <w:pPr>
      <w:pStyle w:val="Header"/>
      <w:ind w:right="360"/>
      <w:rPr>
        <w:rFonts w:ascii="Times New Roman" w:hAnsi="Times New Roman"/>
      </w:rPr>
    </w:pPr>
    <w:r w:rsidRPr="003147F6">
      <w:rPr>
        <w:rFonts w:ascii="Times New Roman" w:hAnsi="Times New Roman"/>
      </w:rPr>
      <w:t>Running head: NOVICE SPECIAL EDUCATION TEACHERS</w:t>
    </w:r>
    <w:r w:rsidRPr="003147F6">
      <w:rPr>
        <w:rFonts w:ascii="Times New Roman" w:hAnsi="Times New Roman"/>
      </w:rPr>
      <w:tab/>
      <w:t xml:space="preserve">      </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B7B7F"/>
    <w:multiLevelType w:val="hybridMultilevel"/>
    <w:tmpl w:val="04E40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CF0E9D"/>
    <w:multiLevelType w:val="hybridMultilevel"/>
    <w:tmpl w:val="BDA62F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0110936"/>
    <w:multiLevelType w:val="hybridMultilevel"/>
    <w:tmpl w:val="2CC4BD28"/>
    <w:lvl w:ilvl="0" w:tplc="0409000F">
      <w:start w:val="1"/>
      <w:numFmt w:val="decimal"/>
      <w:lvlText w:val="%1."/>
      <w:lvlJc w:val="left"/>
      <w:pPr>
        <w:ind w:left="1447" w:hanging="360"/>
      </w:pPr>
    </w:lvl>
    <w:lvl w:ilvl="1" w:tplc="04090019" w:tentative="1">
      <w:start w:val="1"/>
      <w:numFmt w:val="lowerLetter"/>
      <w:lvlText w:val="%2."/>
      <w:lvlJc w:val="left"/>
      <w:pPr>
        <w:ind w:left="2167" w:hanging="360"/>
      </w:pPr>
    </w:lvl>
    <w:lvl w:ilvl="2" w:tplc="0409001B" w:tentative="1">
      <w:start w:val="1"/>
      <w:numFmt w:val="lowerRoman"/>
      <w:lvlText w:val="%3."/>
      <w:lvlJc w:val="right"/>
      <w:pPr>
        <w:ind w:left="2887" w:hanging="180"/>
      </w:pPr>
    </w:lvl>
    <w:lvl w:ilvl="3" w:tplc="0409000F" w:tentative="1">
      <w:start w:val="1"/>
      <w:numFmt w:val="decimal"/>
      <w:lvlText w:val="%4."/>
      <w:lvlJc w:val="left"/>
      <w:pPr>
        <w:ind w:left="3607" w:hanging="360"/>
      </w:pPr>
    </w:lvl>
    <w:lvl w:ilvl="4" w:tplc="04090019" w:tentative="1">
      <w:start w:val="1"/>
      <w:numFmt w:val="lowerLetter"/>
      <w:lvlText w:val="%5."/>
      <w:lvlJc w:val="left"/>
      <w:pPr>
        <w:ind w:left="4327" w:hanging="360"/>
      </w:pPr>
    </w:lvl>
    <w:lvl w:ilvl="5" w:tplc="0409001B" w:tentative="1">
      <w:start w:val="1"/>
      <w:numFmt w:val="lowerRoman"/>
      <w:lvlText w:val="%6."/>
      <w:lvlJc w:val="right"/>
      <w:pPr>
        <w:ind w:left="5047" w:hanging="180"/>
      </w:pPr>
    </w:lvl>
    <w:lvl w:ilvl="6" w:tplc="0409000F" w:tentative="1">
      <w:start w:val="1"/>
      <w:numFmt w:val="decimal"/>
      <w:lvlText w:val="%7."/>
      <w:lvlJc w:val="left"/>
      <w:pPr>
        <w:ind w:left="5767" w:hanging="360"/>
      </w:pPr>
    </w:lvl>
    <w:lvl w:ilvl="7" w:tplc="04090019" w:tentative="1">
      <w:start w:val="1"/>
      <w:numFmt w:val="lowerLetter"/>
      <w:lvlText w:val="%8."/>
      <w:lvlJc w:val="left"/>
      <w:pPr>
        <w:ind w:left="6487" w:hanging="360"/>
      </w:pPr>
    </w:lvl>
    <w:lvl w:ilvl="8" w:tplc="0409001B" w:tentative="1">
      <w:start w:val="1"/>
      <w:numFmt w:val="lowerRoman"/>
      <w:lvlText w:val="%9."/>
      <w:lvlJc w:val="right"/>
      <w:pPr>
        <w:ind w:left="7207"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3147F6"/>
    <w:rsid w:val="00036EBA"/>
    <w:rsid w:val="00055CFC"/>
    <w:rsid w:val="00070980"/>
    <w:rsid w:val="00070BCD"/>
    <w:rsid w:val="000725CA"/>
    <w:rsid w:val="000A57D2"/>
    <w:rsid w:val="000B0027"/>
    <w:rsid w:val="000B3285"/>
    <w:rsid w:val="000D4250"/>
    <w:rsid w:val="000D5F78"/>
    <w:rsid w:val="000D6311"/>
    <w:rsid w:val="000E4F6C"/>
    <w:rsid w:val="001031F7"/>
    <w:rsid w:val="001253F2"/>
    <w:rsid w:val="001451DF"/>
    <w:rsid w:val="0014598E"/>
    <w:rsid w:val="00176D5F"/>
    <w:rsid w:val="001913C1"/>
    <w:rsid w:val="001A0BDC"/>
    <w:rsid w:val="001B00AA"/>
    <w:rsid w:val="001D3A32"/>
    <w:rsid w:val="00236906"/>
    <w:rsid w:val="00241C06"/>
    <w:rsid w:val="002672CF"/>
    <w:rsid w:val="00294E34"/>
    <w:rsid w:val="002B53F4"/>
    <w:rsid w:val="002C2D57"/>
    <w:rsid w:val="002D27B1"/>
    <w:rsid w:val="002D6226"/>
    <w:rsid w:val="002F707F"/>
    <w:rsid w:val="003147F6"/>
    <w:rsid w:val="003217CB"/>
    <w:rsid w:val="00353CB4"/>
    <w:rsid w:val="003657BC"/>
    <w:rsid w:val="00385192"/>
    <w:rsid w:val="003E21E9"/>
    <w:rsid w:val="003F57EF"/>
    <w:rsid w:val="0049450F"/>
    <w:rsid w:val="004D6066"/>
    <w:rsid w:val="004F0D54"/>
    <w:rsid w:val="0050521D"/>
    <w:rsid w:val="00517EB8"/>
    <w:rsid w:val="00533F30"/>
    <w:rsid w:val="005438F1"/>
    <w:rsid w:val="00543936"/>
    <w:rsid w:val="005448FF"/>
    <w:rsid w:val="00547978"/>
    <w:rsid w:val="00555FE5"/>
    <w:rsid w:val="0057053F"/>
    <w:rsid w:val="00571259"/>
    <w:rsid w:val="0057564A"/>
    <w:rsid w:val="005906C0"/>
    <w:rsid w:val="005A07C4"/>
    <w:rsid w:val="005B0F4C"/>
    <w:rsid w:val="005F1804"/>
    <w:rsid w:val="00603B58"/>
    <w:rsid w:val="0062625B"/>
    <w:rsid w:val="006658EA"/>
    <w:rsid w:val="00695A66"/>
    <w:rsid w:val="006A7D32"/>
    <w:rsid w:val="006B2411"/>
    <w:rsid w:val="006E64B2"/>
    <w:rsid w:val="0070039B"/>
    <w:rsid w:val="00781A98"/>
    <w:rsid w:val="0079602A"/>
    <w:rsid w:val="007B755E"/>
    <w:rsid w:val="007D0006"/>
    <w:rsid w:val="007F0C0E"/>
    <w:rsid w:val="008343C4"/>
    <w:rsid w:val="00854D9F"/>
    <w:rsid w:val="00855AE9"/>
    <w:rsid w:val="008563A7"/>
    <w:rsid w:val="00875A05"/>
    <w:rsid w:val="00886801"/>
    <w:rsid w:val="008B391E"/>
    <w:rsid w:val="008B4D01"/>
    <w:rsid w:val="008C2329"/>
    <w:rsid w:val="008C7421"/>
    <w:rsid w:val="008E5FE2"/>
    <w:rsid w:val="00912FB9"/>
    <w:rsid w:val="0096773F"/>
    <w:rsid w:val="00974A5F"/>
    <w:rsid w:val="009B229C"/>
    <w:rsid w:val="009C03EC"/>
    <w:rsid w:val="009D1F34"/>
    <w:rsid w:val="00A03209"/>
    <w:rsid w:val="00A60A46"/>
    <w:rsid w:val="00A82C71"/>
    <w:rsid w:val="00A83F38"/>
    <w:rsid w:val="00A92ED8"/>
    <w:rsid w:val="00AE15BD"/>
    <w:rsid w:val="00AE2EF9"/>
    <w:rsid w:val="00B04FF1"/>
    <w:rsid w:val="00B62F89"/>
    <w:rsid w:val="00B817C3"/>
    <w:rsid w:val="00B824DB"/>
    <w:rsid w:val="00BA07C0"/>
    <w:rsid w:val="00BB5A46"/>
    <w:rsid w:val="00BE3E9D"/>
    <w:rsid w:val="00C21B93"/>
    <w:rsid w:val="00C31CD5"/>
    <w:rsid w:val="00C55281"/>
    <w:rsid w:val="00C77A66"/>
    <w:rsid w:val="00C932A7"/>
    <w:rsid w:val="00CB0061"/>
    <w:rsid w:val="00CB6F51"/>
    <w:rsid w:val="00CB7746"/>
    <w:rsid w:val="00D32C91"/>
    <w:rsid w:val="00D71953"/>
    <w:rsid w:val="00D74005"/>
    <w:rsid w:val="00D76445"/>
    <w:rsid w:val="00D86C92"/>
    <w:rsid w:val="00D86EF0"/>
    <w:rsid w:val="00D9598C"/>
    <w:rsid w:val="00DD0359"/>
    <w:rsid w:val="00E218D6"/>
    <w:rsid w:val="00E23EC7"/>
    <w:rsid w:val="00E63EF3"/>
    <w:rsid w:val="00E91F69"/>
    <w:rsid w:val="00EB0634"/>
    <w:rsid w:val="00EB2CA4"/>
    <w:rsid w:val="00EB7DAB"/>
    <w:rsid w:val="00EC4CA6"/>
    <w:rsid w:val="00EE14E3"/>
    <w:rsid w:val="00F20320"/>
    <w:rsid w:val="00F23EDB"/>
    <w:rsid w:val="00F60246"/>
    <w:rsid w:val="00F62116"/>
    <w:rsid w:val="00F92E79"/>
    <w:rsid w:val="00F977FB"/>
    <w:rsid w:val="00FA5879"/>
  </w:rsids>
  <m:mathPr>
    <m:mathFont m:val="Shruti"/>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CA7994"/>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3147F6"/>
    <w:pPr>
      <w:tabs>
        <w:tab w:val="center" w:pos="4320"/>
        <w:tab w:val="right" w:pos="8640"/>
      </w:tabs>
    </w:pPr>
  </w:style>
  <w:style w:type="character" w:customStyle="1" w:styleId="HeaderChar">
    <w:name w:val="Header Char"/>
    <w:basedOn w:val="DefaultParagraphFont"/>
    <w:link w:val="Header"/>
    <w:uiPriority w:val="99"/>
    <w:semiHidden/>
    <w:rsid w:val="003147F6"/>
  </w:style>
  <w:style w:type="paragraph" w:styleId="Footer">
    <w:name w:val="footer"/>
    <w:basedOn w:val="Normal"/>
    <w:link w:val="FooterChar"/>
    <w:uiPriority w:val="99"/>
    <w:semiHidden/>
    <w:unhideWhenUsed/>
    <w:rsid w:val="003147F6"/>
    <w:pPr>
      <w:tabs>
        <w:tab w:val="center" w:pos="4320"/>
        <w:tab w:val="right" w:pos="8640"/>
      </w:tabs>
    </w:pPr>
  </w:style>
  <w:style w:type="character" w:customStyle="1" w:styleId="FooterChar">
    <w:name w:val="Footer Char"/>
    <w:basedOn w:val="DefaultParagraphFont"/>
    <w:link w:val="Footer"/>
    <w:uiPriority w:val="99"/>
    <w:semiHidden/>
    <w:rsid w:val="003147F6"/>
  </w:style>
  <w:style w:type="character" w:styleId="PageNumber">
    <w:name w:val="page number"/>
    <w:basedOn w:val="DefaultParagraphFont"/>
    <w:uiPriority w:val="99"/>
    <w:semiHidden/>
    <w:unhideWhenUsed/>
    <w:rsid w:val="003147F6"/>
  </w:style>
  <w:style w:type="paragraph" w:styleId="ListParagraph">
    <w:name w:val="List Paragraph"/>
    <w:basedOn w:val="Normal"/>
    <w:uiPriority w:val="34"/>
    <w:qFormat/>
    <w:rsid w:val="00C21B93"/>
    <w:pPr>
      <w:ind w:left="720"/>
      <w:contextualSpacing/>
    </w:pPr>
  </w:style>
  <w:style w:type="character" w:styleId="CommentReference">
    <w:name w:val="annotation reference"/>
    <w:basedOn w:val="DefaultParagraphFont"/>
    <w:rsid w:val="00571259"/>
    <w:rPr>
      <w:sz w:val="18"/>
      <w:szCs w:val="18"/>
    </w:rPr>
  </w:style>
  <w:style w:type="paragraph" w:styleId="CommentText">
    <w:name w:val="annotation text"/>
    <w:basedOn w:val="Normal"/>
    <w:link w:val="CommentTextChar"/>
    <w:rsid w:val="00571259"/>
  </w:style>
  <w:style w:type="character" w:customStyle="1" w:styleId="CommentTextChar">
    <w:name w:val="Comment Text Char"/>
    <w:basedOn w:val="DefaultParagraphFont"/>
    <w:link w:val="CommentText"/>
    <w:rsid w:val="00571259"/>
  </w:style>
  <w:style w:type="paragraph" w:styleId="CommentSubject">
    <w:name w:val="annotation subject"/>
    <w:basedOn w:val="CommentText"/>
    <w:next w:val="CommentText"/>
    <w:link w:val="CommentSubjectChar"/>
    <w:rsid w:val="00571259"/>
    <w:rPr>
      <w:b/>
      <w:bCs/>
      <w:sz w:val="20"/>
      <w:szCs w:val="20"/>
    </w:rPr>
  </w:style>
  <w:style w:type="character" w:customStyle="1" w:styleId="CommentSubjectChar">
    <w:name w:val="Comment Subject Char"/>
    <w:basedOn w:val="CommentTextChar"/>
    <w:link w:val="CommentSubject"/>
    <w:rsid w:val="00571259"/>
    <w:rPr>
      <w:b/>
      <w:bCs/>
      <w:sz w:val="20"/>
      <w:szCs w:val="20"/>
    </w:rPr>
  </w:style>
  <w:style w:type="paragraph" w:styleId="BalloonText">
    <w:name w:val="Balloon Text"/>
    <w:basedOn w:val="Normal"/>
    <w:link w:val="BalloonTextChar"/>
    <w:rsid w:val="00571259"/>
    <w:rPr>
      <w:rFonts w:ascii="Lucida Grande" w:hAnsi="Lucida Grande"/>
      <w:sz w:val="18"/>
      <w:szCs w:val="18"/>
    </w:rPr>
  </w:style>
  <w:style w:type="character" w:customStyle="1" w:styleId="BalloonTextChar">
    <w:name w:val="Balloon Text Char"/>
    <w:basedOn w:val="DefaultParagraphFont"/>
    <w:link w:val="BalloonText"/>
    <w:rsid w:val="00571259"/>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4471</Words>
  <Characters>25490</Characters>
  <Application>Microsoft Macintosh Word</Application>
  <DocSecurity>0</DocSecurity>
  <Lines>212</Lines>
  <Paragraphs>50</Paragraphs>
  <ScaleCrop>false</ScaleCrop>
  <LinksUpToDate>false</LinksUpToDate>
  <CharactersWithSpaces>31303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Mills</dc:creator>
  <cp:keywords/>
  <cp:lastModifiedBy>Sara Mills</cp:lastModifiedBy>
  <cp:revision>2</cp:revision>
  <dcterms:created xsi:type="dcterms:W3CDTF">2010-05-17T19:56:00Z</dcterms:created>
  <dcterms:modified xsi:type="dcterms:W3CDTF">2010-05-17T19:56:00Z</dcterms:modified>
</cp:coreProperties>
</file>